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87A" w:rsidRPr="00BB3EA6" w:rsidRDefault="004C087A" w:rsidP="004C087A">
      <w:pPr>
        <w:spacing w:after="240"/>
        <w:rPr>
          <w:i/>
          <w:sz w:val="18"/>
          <w:szCs w:val="18"/>
        </w:rPr>
      </w:pPr>
      <w:r w:rsidRPr="00F3566B">
        <w:rPr>
          <w:i/>
          <w:sz w:val="18"/>
          <w:szCs w:val="18"/>
        </w:rPr>
        <w:t>Physics &gt; Big idea PMA: Matter &gt; Topic PMA5: Nuclear physics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rsidTr="00AE3956">
        <w:trPr>
          <w:trHeight w:val="362"/>
        </w:trPr>
        <w:tc>
          <w:tcPr>
            <w:tcW w:w="16831" w:type="dxa"/>
            <w:shd w:val="clear" w:color="auto" w:fill="CCC0D9" w:themeFill="accent4" w:themeFillTint="66"/>
          </w:tcPr>
          <w:p w:rsidR="006F3279" w:rsidRPr="00CA4B46" w:rsidRDefault="0022442F" w:rsidP="00F34FD0">
            <w:pPr>
              <w:spacing w:after="60"/>
              <w:ind w:left="1304"/>
              <w:rPr>
                <w:b/>
                <w:sz w:val="40"/>
                <w:szCs w:val="40"/>
              </w:rPr>
            </w:pPr>
            <w:r w:rsidRPr="00EC17F1">
              <w:rPr>
                <w:b/>
                <w:sz w:val="40"/>
                <w:szCs w:val="40"/>
              </w:rPr>
              <w:t>P</w:t>
            </w:r>
            <w:r w:rsidR="00EC17F1" w:rsidRPr="00EC17F1">
              <w:rPr>
                <w:b/>
                <w:sz w:val="40"/>
                <w:szCs w:val="40"/>
              </w:rPr>
              <w:t>MA5</w:t>
            </w:r>
            <w:r w:rsidR="00821188" w:rsidRPr="00EC17F1">
              <w:rPr>
                <w:b/>
                <w:sz w:val="40"/>
                <w:szCs w:val="40"/>
              </w:rPr>
              <w:t>.</w:t>
            </w:r>
            <w:r w:rsidR="00457E06">
              <w:rPr>
                <w:b/>
                <w:sz w:val="40"/>
                <w:szCs w:val="40"/>
              </w:rPr>
              <w:t>4</w:t>
            </w:r>
            <w:r w:rsidR="00821188" w:rsidRPr="00EC17F1">
              <w:rPr>
                <w:b/>
                <w:sz w:val="40"/>
                <w:szCs w:val="40"/>
              </w:rPr>
              <w:t xml:space="preserve">: </w:t>
            </w:r>
            <w:r w:rsidR="00457E06">
              <w:rPr>
                <w:b/>
                <w:sz w:val="40"/>
                <w:szCs w:val="40"/>
              </w:rPr>
              <w:t>Radioactive half-life</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4C087A" w:rsidRPr="00DE5178" w:rsidRDefault="004C087A" w:rsidP="004C087A">
      <w:pPr>
        <w:spacing w:after="180"/>
      </w:pPr>
      <w:r w:rsidRPr="00B31C39">
        <w:t>A big idea in physics is matter. Matter is a more formal word for ‘stuff’. Anything that can be stored in a container, or weighed, is matter. 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A35C32" w:rsidRPr="00A35C32" w:rsidRDefault="006A01DE" w:rsidP="006A01DE">
      <w:pPr>
        <w:spacing w:after="180"/>
      </w:pPr>
      <w:r w:rsidRPr="00A35C32">
        <w:t xml:space="preserve">This key concept </w:t>
      </w:r>
      <w:r w:rsidR="00FE427C" w:rsidRPr="00A35C32">
        <w:t xml:space="preserve">helps to </w:t>
      </w:r>
      <w:r w:rsidRPr="00A35C32">
        <w:t xml:space="preserve">develop the big idea by </w:t>
      </w:r>
      <w:r w:rsidR="00734EAE" w:rsidRPr="00A35C32">
        <w:t xml:space="preserve">exploring </w:t>
      </w:r>
      <w:r w:rsidR="00A35C32" w:rsidRPr="00A35C32">
        <w:t xml:space="preserve">ideas </w:t>
      </w:r>
      <w:r w:rsidR="00490C5D">
        <w:t>of</w:t>
      </w:r>
      <w:r w:rsidR="00A35C32" w:rsidRPr="00A35C32">
        <w:t xml:space="preserve"> how the random nature of radioactive decay </w:t>
      </w:r>
      <w:r w:rsidR="00490C5D">
        <w:t>results in</w:t>
      </w:r>
      <w:r w:rsidR="00A35C32" w:rsidRPr="00A35C32">
        <w:t xml:space="preserve"> the predictability of radioactive half-life</w:t>
      </w:r>
      <w:r w:rsidR="00A35C32">
        <w:t xml:space="preserve"> </w:t>
      </w:r>
      <w:r w:rsidR="00147C4E">
        <w:t>and</w:t>
      </w:r>
      <w:r w:rsidR="00A35C32">
        <w:t xml:space="preserve"> </w:t>
      </w:r>
      <w:r w:rsidR="00490C5D">
        <w:t xml:space="preserve">of </w:t>
      </w:r>
      <w:r w:rsidR="00A35C32">
        <w:t>the properties of radioactive materials over time</w:t>
      </w:r>
      <w:r w:rsidR="00A35C32" w:rsidRPr="00A35C32">
        <w:t>.</w:t>
      </w:r>
    </w:p>
    <w:p w:rsidR="00846982" w:rsidRPr="00AE0F59" w:rsidRDefault="00862562" w:rsidP="006A01DE">
      <w:pPr>
        <w:spacing w:after="180"/>
      </w:pPr>
      <w:r w:rsidRPr="00AE0F59">
        <w:rPr>
          <w:noProof/>
          <w:lang w:eastAsia="en-GB"/>
        </w:rPr>
        <w:drawing>
          <wp:anchor distT="0" distB="0" distL="114300" distR="114300" simplePos="0" relativeHeight="251715584" behindDoc="0" locked="0" layoutInCell="1" allowOverlap="1">
            <wp:simplePos x="0" y="0"/>
            <wp:positionH relativeFrom="margin">
              <wp:posOffset>4243377</wp:posOffset>
            </wp:positionH>
            <wp:positionV relativeFrom="paragraph">
              <wp:posOffset>627183</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anchor>
        </w:drawing>
      </w:r>
      <w:r w:rsidR="006A01DE" w:rsidRPr="00AE0F59">
        <w:t>The conceptual progression star</w:t>
      </w:r>
      <w:r w:rsidR="00FC4E51">
        <w:t xml:space="preserve">ts by checking understanding of </w:t>
      </w:r>
      <w:r w:rsidR="00846982" w:rsidRPr="00AE0F59">
        <w:t>randomness</w:t>
      </w:r>
      <w:r w:rsidR="00734EAE" w:rsidRPr="00AE0F59">
        <w:t xml:space="preserve">. It then supports the development of an understanding of </w:t>
      </w:r>
      <w:r w:rsidR="00846982" w:rsidRPr="00AE0F59">
        <w:t xml:space="preserve">the random decay of </w:t>
      </w:r>
      <w:r w:rsidR="00FC4E51">
        <w:t xml:space="preserve">a </w:t>
      </w:r>
      <w:r w:rsidR="00846982" w:rsidRPr="00AE0F59">
        <w:t>radioactive material</w:t>
      </w:r>
      <w:r w:rsidR="00FC4E51">
        <w:t xml:space="preserve"> and the effect </w:t>
      </w:r>
      <w:r w:rsidR="009E3C29">
        <w:t>that</w:t>
      </w:r>
      <w:r w:rsidR="00FC4E51">
        <w:t xml:space="preserve"> radioactive decay </w:t>
      </w:r>
      <w:r w:rsidR="009E3C29">
        <w:t xml:space="preserve">has </w:t>
      </w:r>
      <w:r w:rsidR="00FC4E51">
        <w:t>on its properties. R</w:t>
      </w:r>
      <w:r w:rsidR="00846982" w:rsidRPr="00AE0F59">
        <w:t xml:space="preserve">adioactive half-life graphs are introduced in order to describe </w:t>
      </w:r>
      <w:r w:rsidR="00FC4E51">
        <w:t xml:space="preserve">and to quantify </w:t>
      </w:r>
      <w:r w:rsidR="00846982" w:rsidRPr="00AE0F59">
        <w:t xml:space="preserve">patterns in the radioactivity of a material over time. </w:t>
      </w:r>
      <w:r w:rsidR="009E3C29">
        <w:t>U</w:t>
      </w:r>
      <w:r w:rsidR="00AE0F59" w:rsidRPr="00AE0F59">
        <w:t>nderstanding of radioactive half-life is further developed to include half-life calculations in different contexts.</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6F3279" w:rsidRPr="00EC17F1" w:rsidRDefault="00D40D1E" w:rsidP="00EC17F1">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w:t>
      </w:r>
      <w:r w:rsidRPr="004C087A">
        <w:rPr>
          <w:b/>
          <w:color w:val="5F497A" w:themeColor="accent4" w:themeShade="BF"/>
          <w:sz w:val="24"/>
        </w:rPr>
        <w:t xml:space="preserve">toolkit: </w:t>
      </w:r>
      <w:r w:rsidR="00B502E4" w:rsidRPr="00B502E4">
        <w:rPr>
          <w:b/>
          <w:color w:val="5F497A" w:themeColor="accent4" w:themeShade="BF"/>
          <w:sz w:val="24"/>
        </w:rPr>
        <w:t>Radioactive half-life</w:t>
      </w:r>
      <w:bookmarkStart w:id="0" w:name="_GoBack"/>
      <w:bookmarkEnd w:id="0"/>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EE2AE7" w:rsidRDefault="00193190" w:rsidP="005A6506">
            <w:pPr>
              <w:jc w:val="center"/>
            </w:pPr>
            <w:r>
              <w:t>Radioactive half-life is the predicted time it takes for half of a large sample</w:t>
            </w:r>
            <w:r w:rsidR="00F65085">
              <w:t xml:space="preserve"> </w:t>
            </w:r>
            <w:r>
              <w:t>of radioactive nuclei to decay randomly.</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1248"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1471AE">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1248;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1471AE">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457E06" w:rsidRDefault="00856461" w:rsidP="00457E06">
            <w:pPr>
              <w:spacing w:after="120"/>
              <w:rPr>
                <w:rFonts w:cstheme="minorHAnsi"/>
                <w:sz w:val="20"/>
                <w:szCs w:val="20"/>
              </w:rPr>
            </w:pPr>
            <w:r>
              <w:rPr>
                <w:rFonts w:cstheme="minorHAnsi"/>
                <w:sz w:val="20"/>
                <w:szCs w:val="20"/>
              </w:rPr>
              <w:t>I</w:t>
            </w:r>
            <w:r w:rsidR="00F03E37">
              <w:rPr>
                <w:rFonts w:cstheme="minorHAnsi"/>
                <w:sz w:val="20"/>
                <w:szCs w:val="20"/>
              </w:rPr>
              <w:t>dentify events that are random.</w:t>
            </w:r>
          </w:p>
          <w:p w:rsidR="00761D32" w:rsidRPr="00E675A8" w:rsidRDefault="00761D32" w:rsidP="009B5270">
            <w:pPr>
              <w:rPr>
                <w:rFonts w:cstheme="minorHAnsi"/>
                <w:sz w:val="20"/>
                <w:szCs w:val="20"/>
              </w:rPr>
            </w:pP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A87985" w:rsidP="0080002D">
            <w:pPr>
              <w:spacing w:after="120"/>
              <w:rPr>
                <w:rFonts w:cstheme="minorHAnsi"/>
                <w:sz w:val="20"/>
                <w:szCs w:val="20"/>
              </w:rPr>
            </w:pPr>
            <w:r>
              <w:rPr>
                <w:rFonts w:cstheme="minorHAnsi"/>
                <w:sz w:val="20"/>
                <w:szCs w:val="20"/>
              </w:rPr>
              <w:t>E</w:t>
            </w:r>
            <w:r w:rsidR="00F03E37">
              <w:rPr>
                <w:rFonts w:cstheme="minorHAnsi"/>
                <w:sz w:val="20"/>
                <w:szCs w:val="20"/>
              </w:rPr>
              <w:t>xplain how randomness can lead to predictable outcomes.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9A39BF" w:rsidP="00B06D46">
            <w:pPr>
              <w:spacing w:after="120"/>
              <w:rPr>
                <w:rFonts w:cstheme="minorHAnsi"/>
                <w:sz w:val="20"/>
                <w:szCs w:val="20"/>
              </w:rPr>
            </w:pPr>
            <w:r>
              <w:rPr>
                <w:rFonts w:cstheme="minorHAnsi"/>
                <w:sz w:val="20"/>
                <w:szCs w:val="20"/>
              </w:rPr>
              <w:t>Describe the decay of a radioactive material.</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02400" w:rsidRPr="00E675A8" w:rsidRDefault="009A39BF" w:rsidP="009B5270">
            <w:pPr>
              <w:spacing w:after="120"/>
              <w:rPr>
                <w:rFonts w:cstheme="minorHAnsi"/>
                <w:sz w:val="20"/>
                <w:szCs w:val="20"/>
              </w:rPr>
            </w:pPr>
            <w:r>
              <w:rPr>
                <w:rFonts w:cstheme="minorHAnsi"/>
                <w:sz w:val="20"/>
                <w:szCs w:val="20"/>
              </w:rPr>
              <w:t>Describe patterns in the random nature of radioactive decay and i</w:t>
            </w:r>
            <w:r w:rsidR="00F03E37">
              <w:rPr>
                <w:rFonts w:cstheme="minorHAnsi"/>
                <w:sz w:val="20"/>
                <w:szCs w:val="20"/>
              </w:rPr>
              <w:t>nterpret radioactive half-life graphs.</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457E06" w:rsidRDefault="00A87985" w:rsidP="0063222E">
            <w:pPr>
              <w:spacing w:after="120"/>
              <w:rPr>
                <w:rFonts w:cstheme="minorHAnsi"/>
                <w:sz w:val="20"/>
                <w:szCs w:val="20"/>
              </w:rPr>
            </w:pPr>
            <w:r>
              <w:rPr>
                <w:rFonts w:cstheme="minorHAnsi"/>
                <w:sz w:val="20"/>
                <w:szCs w:val="20"/>
              </w:rPr>
              <w:t>M</w:t>
            </w:r>
            <w:r w:rsidR="00F03E37">
              <w:rPr>
                <w:rFonts w:cstheme="minorHAnsi"/>
                <w:sz w:val="20"/>
                <w:szCs w:val="20"/>
              </w:rPr>
              <w:t>ake calculations using values of half-life.</w:t>
            </w:r>
          </w:p>
          <w:p w:rsidR="00761D32" w:rsidRPr="000A4D1F" w:rsidRDefault="00761D32" w:rsidP="0063222E">
            <w:pPr>
              <w:spacing w:after="120"/>
              <w:rPr>
                <w:rFonts w:cstheme="minorHAnsi"/>
                <w:sz w:val="20"/>
                <w:szCs w:val="20"/>
              </w:rPr>
            </w:pPr>
          </w:p>
        </w:tc>
      </w:tr>
      <w:tr w:rsidR="00761D32" w:rsidRPr="00E675A8" w:rsidTr="0033493B">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2C625B" w:rsidP="009B5270">
            <w:pPr>
              <w:rPr>
                <w:rFonts w:cstheme="minorHAnsi"/>
                <w:b/>
                <w:color w:val="FFFFFF" w:themeColor="background1"/>
                <w:szCs w:val="20"/>
              </w:rPr>
            </w:pPr>
            <w:r>
              <w:rPr>
                <w:rFonts w:cstheme="minorHAnsi"/>
                <w:b/>
                <w:color w:val="FFFFFF" w:themeColor="background1"/>
                <w:szCs w:val="20"/>
              </w:rPr>
              <w:t>0</w:t>
            </w: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E84404" w:rsidRPr="00E675A8" w:rsidTr="00E85125">
        <w:trPr>
          <w:trHeight w:val="68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E84404" w:rsidRPr="00C96F8C" w:rsidRDefault="00E84404" w:rsidP="009B5270">
            <w:pPr>
              <w:rPr>
                <w:rFonts w:cstheme="minorHAnsi"/>
                <w:b/>
                <w:sz w:val="20"/>
                <w:szCs w:val="20"/>
              </w:rPr>
            </w:pPr>
            <w:r w:rsidRPr="00362447">
              <w:rPr>
                <w:rFonts w:cstheme="minorHAnsi"/>
                <w:b/>
                <w:color w:val="FFFFFF" w:themeColor="background1"/>
                <w:sz w:val="20"/>
                <w:szCs w:val="20"/>
              </w:rPr>
              <w:t>Diagnostic 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E84404" w:rsidRPr="00C96F8C" w:rsidRDefault="00E84404" w:rsidP="00BA3DAD">
            <w:pPr>
              <w:jc w:val="center"/>
              <w:rPr>
                <w:rFonts w:cstheme="minorHAnsi"/>
                <w:sz w:val="20"/>
                <w:szCs w:val="20"/>
              </w:rPr>
            </w:pPr>
            <w:r w:rsidRPr="00C96F8C">
              <w:rPr>
                <w:rFonts w:cstheme="minorHAnsi"/>
                <w:sz w:val="20"/>
                <w:szCs w:val="20"/>
              </w:rPr>
              <w:t>A random question</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E84404" w:rsidRPr="008247BC" w:rsidRDefault="00E84404" w:rsidP="008247BC">
            <w:pPr>
              <w:jc w:val="center"/>
              <w:rPr>
                <w:rFonts w:cstheme="minorHAnsi"/>
                <w:color w:val="FF0000"/>
                <w:sz w:val="20"/>
                <w:szCs w:val="20"/>
              </w:rPr>
            </w:pPr>
            <w:r w:rsidRPr="008247BC">
              <w:rPr>
                <w:rFonts w:cstheme="minorHAnsi"/>
                <w:sz w:val="20"/>
                <w:szCs w:val="20"/>
              </w:rPr>
              <w:t>Heads or tails?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E84404" w:rsidRPr="00780896" w:rsidRDefault="00E84404" w:rsidP="00791770">
            <w:pPr>
              <w:jc w:val="center"/>
              <w:rPr>
                <w:rFonts w:cstheme="minorHAnsi"/>
                <w:sz w:val="20"/>
                <w:szCs w:val="20"/>
              </w:rPr>
            </w:pPr>
            <w:r w:rsidRPr="00780896">
              <w:rPr>
                <w:rFonts w:cstheme="minorHAnsi"/>
                <w:sz w:val="20"/>
                <w:szCs w:val="20"/>
              </w:rPr>
              <w:t>Radioactive material</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E84404" w:rsidRPr="00780896" w:rsidRDefault="00E84404" w:rsidP="00D04E13">
            <w:pPr>
              <w:jc w:val="center"/>
              <w:rPr>
                <w:rFonts w:cstheme="minorHAnsi"/>
                <w:sz w:val="20"/>
                <w:szCs w:val="20"/>
              </w:rPr>
            </w:pPr>
            <w:r w:rsidRPr="00780896">
              <w:rPr>
                <w:rFonts w:cstheme="minorHAnsi"/>
                <w:sz w:val="20"/>
                <w:szCs w:val="20"/>
              </w:rPr>
              <w:t>Radioactive half-life</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E84404" w:rsidRPr="00ED3A00" w:rsidRDefault="00E84404" w:rsidP="00082BED">
            <w:pPr>
              <w:jc w:val="center"/>
              <w:rPr>
                <w:rFonts w:cstheme="minorHAnsi"/>
                <w:sz w:val="20"/>
                <w:szCs w:val="20"/>
              </w:rPr>
            </w:pPr>
            <w:r w:rsidRPr="00ED3A00">
              <w:rPr>
                <w:rFonts w:cstheme="minorHAnsi"/>
                <w:sz w:val="20"/>
                <w:szCs w:val="20"/>
              </w:rPr>
              <w:t xml:space="preserve">Predicting radioactivity </w:t>
            </w:r>
          </w:p>
        </w:tc>
      </w:tr>
      <w:tr w:rsidR="00E84404" w:rsidRPr="00E675A8" w:rsidTr="00E85125">
        <w:trPr>
          <w:trHeight w:val="680"/>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rsidR="00E84404" w:rsidRPr="003C7537" w:rsidRDefault="00E84404" w:rsidP="009B5270">
            <w:pPr>
              <w:rPr>
                <w:rFonts w:cstheme="minorHAnsi"/>
                <w:b/>
                <w:color w:val="FFFFFF" w:themeColor="background1"/>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E84404" w:rsidRPr="004C65B4" w:rsidRDefault="00E84404" w:rsidP="00005971">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E84404" w:rsidRPr="00FD2EAF" w:rsidRDefault="00E84404" w:rsidP="00FD2EAF">
            <w:pPr>
              <w:jc w:val="center"/>
              <w:rPr>
                <w:rFonts w:cstheme="minorHAnsi"/>
                <w:color w:val="FF0000"/>
                <w:sz w:val="20"/>
                <w:szCs w:val="20"/>
              </w:rPr>
            </w:pPr>
            <w:r w:rsidRPr="00FD2EAF">
              <w:rPr>
                <w:rFonts w:cstheme="minorHAnsi"/>
                <w:sz w:val="20"/>
                <w:szCs w:val="20"/>
              </w:rPr>
              <w:t>Tossing coins</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E84404" w:rsidRPr="00780896" w:rsidRDefault="00E84404" w:rsidP="00C8752B">
            <w:pPr>
              <w:jc w:val="center"/>
              <w:rPr>
                <w:rFonts w:cstheme="minorHAnsi"/>
                <w:sz w:val="20"/>
                <w:szCs w:val="20"/>
              </w:rPr>
            </w:pPr>
          </w:p>
        </w:tc>
        <w:tc>
          <w:tcPr>
            <w:tcW w:w="2439" w:type="dxa"/>
            <w:tcBorders>
              <w:left w:val="single" w:sz="8" w:space="0" w:color="5F497A" w:themeColor="accent4" w:themeShade="BF"/>
              <w:right w:val="single" w:sz="8" w:space="0" w:color="5F497A" w:themeColor="accent4" w:themeShade="BF"/>
            </w:tcBorders>
            <w:shd w:val="clear" w:color="auto" w:fill="auto"/>
            <w:vAlign w:val="center"/>
          </w:tcPr>
          <w:p w:rsidR="00E84404" w:rsidRPr="00780896" w:rsidRDefault="00E84404" w:rsidP="00DF5C2A">
            <w:pPr>
              <w:jc w:val="center"/>
              <w:rPr>
                <w:rFonts w:cstheme="minorHAnsi"/>
                <w:sz w:val="20"/>
                <w:szCs w:val="20"/>
              </w:rPr>
            </w:pPr>
            <w:r w:rsidRPr="00780896">
              <w:rPr>
                <w:rFonts w:cstheme="minorHAnsi"/>
                <w:sz w:val="20"/>
                <w:szCs w:val="20"/>
              </w:rPr>
              <w:t>Radioactive half-life graph</w:t>
            </w:r>
          </w:p>
        </w:tc>
        <w:tc>
          <w:tcPr>
            <w:tcW w:w="2439" w:type="dxa"/>
            <w:tcBorders>
              <w:left w:val="single" w:sz="8" w:space="0" w:color="5F497A" w:themeColor="accent4" w:themeShade="BF"/>
              <w:right w:val="single" w:sz="8" w:space="0" w:color="5F497A" w:themeColor="accent4" w:themeShade="BF"/>
            </w:tcBorders>
            <w:shd w:val="clear" w:color="auto" w:fill="auto"/>
            <w:vAlign w:val="center"/>
          </w:tcPr>
          <w:p w:rsidR="00E84404" w:rsidRPr="00E84404" w:rsidRDefault="00E84404" w:rsidP="00E84404">
            <w:pPr>
              <w:jc w:val="center"/>
              <w:rPr>
                <w:rFonts w:cstheme="minorHAnsi"/>
                <w:color w:val="FF0000"/>
                <w:sz w:val="20"/>
                <w:szCs w:val="20"/>
              </w:rPr>
            </w:pPr>
            <w:r w:rsidRPr="007B348E">
              <w:rPr>
                <w:rFonts w:cstheme="minorHAnsi"/>
                <w:sz w:val="20"/>
                <w:szCs w:val="20"/>
              </w:rPr>
              <w:t>Carbon dating</w:t>
            </w:r>
          </w:p>
        </w:tc>
      </w:tr>
      <w:tr w:rsidR="00C11971" w:rsidRPr="00C11971" w:rsidTr="00E8440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C11971" w:rsidRDefault="00761D32" w:rsidP="009B5270">
            <w:pPr>
              <w:rPr>
                <w:rFonts w:cstheme="minorHAnsi"/>
                <w:b/>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4C65B4"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4C65B4"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11971" w:rsidRPr="004C65B4" w:rsidRDefault="00C11971"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4C65B4"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4C65B4" w:rsidRDefault="00761D32" w:rsidP="009B5270">
            <w:pPr>
              <w:jc w:val="center"/>
              <w:rPr>
                <w:rFonts w:cstheme="minorHAnsi"/>
                <w:sz w:val="20"/>
                <w:szCs w:val="20"/>
              </w:rPr>
            </w:pPr>
          </w:p>
        </w:tc>
      </w:tr>
      <w:tr w:rsidR="006328F6" w:rsidRPr="00E675A8" w:rsidTr="00E85125">
        <w:trPr>
          <w:trHeight w:hRule="exact" w:val="680"/>
        </w:trPr>
        <w:tc>
          <w:tcPr>
            <w:tcW w:w="1545" w:type="dxa"/>
            <w:vMerge w:val="restart"/>
            <w:tcBorders>
              <w:top w:val="single" w:sz="8" w:space="0" w:color="5F497A" w:themeColor="accent4" w:themeShade="BF"/>
              <w:left w:val="single" w:sz="8" w:space="0" w:color="5F497A" w:themeColor="accent4" w:themeShade="BF"/>
              <w:right w:val="single" w:sz="4" w:space="0" w:color="5F497A" w:themeColor="accent4" w:themeShade="BF"/>
            </w:tcBorders>
            <w:shd w:val="clear" w:color="auto" w:fill="5F497A" w:themeFill="accent4" w:themeFillShade="BF"/>
          </w:tcPr>
          <w:p w:rsidR="006328F6" w:rsidRDefault="006328F6" w:rsidP="001E3E1C">
            <w:pPr>
              <w:rPr>
                <w:rFonts w:cstheme="minorHAnsi"/>
                <w:b/>
                <w:color w:val="FFFFFF" w:themeColor="background1"/>
                <w:sz w:val="20"/>
                <w:szCs w:val="20"/>
              </w:rPr>
            </w:pPr>
            <w:r>
              <w:rPr>
                <w:rFonts w:cstheme="minorHAnsi"/>
                <w:b/>
                <w:color w:val="FFFFFF" w:themeColor="background1"/>
                <w:sz w:val="20"/>
                <w:szCs w:val="20"/>
              </w:rPr>
              <w:t xml:space="preserve">Response </w:t>
            </w:r>
          </w:p>
          <w:p w:rsidR="006328F6" w:rsidRPr="003C7537" w:rsidRDefault="006328F6" w:rsidP="001E3E1C">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vMerge w:val="restart"/>
            <w:tcBorders>
              <w:top w:val="single" w:sz="4" w:space="0" w:color="5F497A" w:themeColor="accent4" w:themeShade="BF"/>
              <w:left w:val="single" w:sz="4" w:space="0" w:color="5F497A" w:themeColor="accent4" w:themeShade="BF"/>
              <w:bottom w:val="single" w:sz="4" w:space="0" w:color="5F497A" w:themeColor="accent4" w:themeShade="BF"/>
              <w:right w:val="dashed" w:sz="4" w:space="0" w:color="5F497A" w:themeColor="accent4" w:themeShade="BF"/>
            </w:tcBorders>
            <w:shd w:val="clear" w:color="auto" w:fill="auto"/>
            <w:vAlign w:val="center"/>
          </w:tcPr>
          <w:p w:rsidR="006328F6" w:rsidRPr="004C65B4" w:rsidRDefault="006328F6" w:rsidP="001E3E1C">
            <w:pPr>
              <w:jc w:val="center"/>
              <w:rPr>
                <w:rFonts w:cstheme="minorHAnsi"/>
                <w:sz w:val="20"/>
                <w:szCs w:val="20"/>
              </w:rPr>
            </w:pPr>
          </w:p>
        </w:tc>
        <w:tc>
          <w:tcPr>
            <w:tcW w:w="2439" w:type="dxa"/>
            <w:vMerge w:val="restart"/>
            <w:tcBorders>
              <w:top w:val="single" w:sz="4" w:space="0" w:color="5F497A" w:themeColor="accent4" w:themeShade="BF"/>
              <w:left w:val="dashed" w:sz="4" w:space="0" w:color="5F497A" w:themeColor="accent4" w:themeShade="BF"/>
              <w:bottom w:val="single" w:sz="4" w:space="0" w:color="5F497A" w:themeColor="accent4" w:themeShade="BF"/>
              <w:right w:val="single" w:sz="4" w:space="0" w:color="5F497A" w:themeColor="accent4" w:themeShade="BF"/>
            </w:tcBorders>
            <w:shd w:val="clear" w:color="auto" w:fill="auto"/>
            <w:vAlign w:val="center"/>
          </w:tcPr>
          <w:p w:rsidR="006328F6" w:rsidRPr="009A39BF" w:rsidRDefault="006328F6" w:rsidP="00112F3A">
            <w:pPr>
              <w:jc w:val="center"/>
              <w:rPr>
                <w:rFonts w:cstheme="minorHAnsi"/>
                <w:color w:val="FF0000"/>
                <w:sz w:val="20"/>
                <w:szCs w:val="20"/>
              </w:rPr>
            </w:pPr>
          </w:p>
        </w:tc>
        <w:tc>
          <w:tcPr>
            <w:tcW w:w="4878" w:type="dxa"/>
            <w:gridSpan w:val="2"/>
            <w:tcBorders>
              <w:top w:val="single" w:sz="8" w:space="0" w:color="5F497A" w:themeColor="accent4" w:themeShade="BF"/>
              <w:left w:val="single"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328F6" w:rsidRPr="004C65B4" w:rsidRDefault="006328F6" w:rsidP="006D3341">
            <w:pPr>
              <w:jc w:val="center"/>
              <w:rPr>
                <w:rFonts w:cstheme="minorHAnsi"/>
                <w:sz w:val="20"/>
                <w:szCs w:val="20"/>
              </w:rPr>
            </w:pPr>
            <w:r w:rsidRPr="00BA49B2">
              <w:rPr>
                <w:rFonts w:cstheme="minorHAnsi"/>
                <w:sz w:val="20"/>
                <w:szCs w:val="20"/>
              </w:rPr>
              <w:t>Half-life of clay dice</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328F6" w:rsidRPr="004C65B4" w:rsidRDefault="006328F6" w:rsidP="00B4362D">
            <w:pPr>
              <w:jc w:val="center"/>
              <w:rPr>
                <w:rFonts w:cstheme="minorHAnsi"/>
                <w:sz w:val="20"/>
                <w:szCs w:val="20"/>
              </w:rPr>
            </w:pPr>
          </w:p>
        </w:tc>
      </w:tr>
      <w:tr w:rsidR="006328F6" w:rsidRPr="00E675A8" w:rsidTr="00E85125">
        <w:trPr>
          <w:trHeight w:hRule="exact" w:val="680"/>
        </w:trPr>
        <w:tc>
          <w:tcPr>
            <w:tcW w:w="1545" w:type="dxa"/>
            <w:vMerge/>
            <w:tcBorders>
              <w:left w:val="single" w:sz="8" w:space="0" w:color="5F497A" w:themeColor="accent4" w:themeShade="BF"/>
              <w:bottom w:val="single" w:sz="8" w:space="0" w:color="5F497A" w:themeColor="accent4" w:themeShade="BF"/>
              <w:right w:val="single" w:sz="4" w:space="0" w:color="5F497A" w:themeColor="accent4" w:themeShade="BF"/>
            </w:tcBorders>
            <w:shd w:val="clear" w:color="auto" w:fill="5F497A" w:themeFill="accent4" w:themeFillShade="BF"/>
          </w:tcPr>
          <w:p w:rsidR="006328F6" w:rsidRDefault="006328F6" w:rsidP="001E3E1C">
            <w:pPr>
              <w:rPr>
                <w:rFonts w:cstheme="minorHAnsi"/>
                <w:b/>
                <w:color w:val="FFFFFF" w:themeColor="background1"/>
                <w:sz w:val="20"/>
                <w:szCs w:val="20"/>
              </w:rPr>
            </w:pPr>
          </w:p>
        </w:tc>
        <w:tc>
          <w:tcPr>
            <w:tcW w:w="2439" w:type="dxa"/>
            <w:vMerge/>
            <w:tcBorders>
              <w:top w:val="single" w:sz="4" w:space="0" w:color="5F497A" w:themeColor="accent4" w:themeShade="BF"/>
              <w:left w:val="single" w:sz="4" w:space="0" w:color="5F497A" w:themeColor="accent4" w:themeShade="BF"/>
              <w:bottom w:val="single" w:sz="4" w:space="0" w:color="5F497A" w:themeColor="accent4" w:themeShade="BF"/>
              <w:right w:val="dashed" w:sz="4" w:space="0" w:color="5F497A" w:themeColor="accent4" w:themeShade="BF"/>
            </w:tcBorders>
            <w:shd w:val="clear" w:color="auto" w:fill="auto"/>
            <w:vAlign w:val="center"/>
          </w:tcPr>
          <w:p w:rsidR="006328F6" w:rsidRPr="004C65B4" w:rsidRDefault="006328F6" w:rsidP="001E3E1C">
            <w:pPr>
              <w:jc w:val="center"/>
              <w:rPr>
                <w:rFonts w:cstheme="minorHAnsi"/>
                <w:sz w:val="20"/>
                <w:szCs w:val="20"/>
              </w:rPr>
            </w:pPr>
          </w:p>
        </w:tc>
        <w:tc>
          <w:tcPr>
            <w:tcW w:w="2439" w:type="dxa"/>
            <w:vMerge/>
            <w:tcBorders>
              <w:top w:val="single" w:sz="4" w:space="0" w:color="5F497A" w:themeColor="accent4" w:themeShade="BF"/>
              <w:left w:val="dashed" w:sz="4" w:space="0" w:color="5F497A" w:themeColor="accent4" w:themeShade="BF"/>
              <w:bottom w:val="single" w:sz="4" w:space="0" w:color="5F497A" w:themeColor="accent4" w:themeShade="BF"/>
              <w:right w:val="single" w:sz="4" w:space="0" w:color="5F497A" w:themeColor="accent4" w:themeShade="BF"/>
            </w:tcBorders>
            <w:shd w:val="clear" w:color="auto" w:fill="auto"/>
            <w:vAlign w:val="center"/>
          </w:tcPr>
          <w:p w:rsidR="006328F6" w:rsidRPr="009A39BF" w:rsidRDefault="006328F6" w:rsidP="00112F3A">
            <w:pPr>
              <w:jc w:val="center"/>
              <w:rPr>
                <w:rFonts w:cstheme="minorHAnsi"/>
                <w:color w:val="FF0000"/>
                <w:sz w:val="20"/>
                <w:szCs w:val="20"/>
              </w:rPr>
            </w:pPr>
          </w:p>
        </w:tc>
        <w:tc>
          <w:tcPr>
            <w:tcW w:w="7317" w:type="dxa"/>
            <w:gridSpan w:val="3"/>
            <w:tcBorders>
              <w:top w:val="single" w:sz="8" w:space="0" w:color="5F497A" w:themeColor="accent4" w:themeShade="BF"/>
              <w:left w:val="single"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6328F6" w:rsidRPr="00F4125F" w:rsidRDefault="001D573D" w:rsidP="001D573D">
            <w:pPr>
              <w:jc w:val="center"/>
              <w:rPr>
                <w:rFonts w:cstheme="minorHAnsi"/>
                <w:color w:val="FF0000"/>
                <w:sz w:val="20"/>
                <w:szCs w:val="20"/>
              </w:rPr>
            </w:pPr>
            <w:r w:rsidRPr="009B30BB">
              <w:rPr>
                <w:rFonts w:cstheme="minorHAnsi"/>
                <w:sz w:val="20"/>
                <w:szCs w:val="20"/>
              </w:rPr>
              <w:t>Half-life of</w:t>
            </w:r>
            <w:r w:rsidR="006328F6" w:rsidRPr="009B30BB">
              <w:rPr>
                <w:rFonts w:cstheme="minorHAnsi"/>
                <w:sz w:val="20"/>
                <w:szCs w:val="20"/>
              </w:rPr>
              <w:t xml:space="preserve"> pizza</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761D32" w:rsidTr="009B5270">
        <w:tc>
          <w:tcPr>
            <w:tcW w:w="10361" w:type="dxa"/>
            <w:gridSpan w:val="4"/>
          </w:tcPr>
          <w:p w:rsidR="00761D32" w:rsidRDefault="00761D32" w:rsidP="009B5270">
            <w:pPr>
              <w:spacing w:after="120"/>
              <w:rPr>
                <w:sz w:val="20"/>
              </w:rPr>
            </w:pPr>
            <w:r>
              <w:rPr>
                <w:sz w:val="20"/>
              </w:rPr>
              <w:t>Key:</w:t>
            </w:r>
          </w:p>
        </w:tc>
      </w:tr>
      <w:tr w:rsidR="00702400" w:rsidTr="009B5270">
        <w:tc>
          <w:tcPr>
            <w:tcW w:w="438" w:type="dxa"/>
            <w:vAlign w:val="center"/>
          </w:tcPr>
          <w:p w:rsidR="00702400" w:rsidRDefault="00702400" w:rsidP="00702400">
            <w:pPr>
              <w:jc w:val="center"/>
              <w:rPr>
                <w:sz w:val="20"/>
              </w:rPr>
            </w:pPr>
            <w:r>
              <w:rPr>
                <w:noProof/>
                <w:sz w:val="20"/>
                <w:lang w:eastAsia="en-GB"/>
              </w:rPr>
              <mc:AlternateContent>
                <mc:Choice Requires="wps">
                  <w:drawing>
                    <wp:inline distT="0" distB="0" distL="0" distR="0" wp14:anchorId="1FA02330" wp14:editId="5D72B52A">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02400" w:rsidRPr="00620AFF" w:rsidRDefault="00702400"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1FA02330" id="Text Box 3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CA+ju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702400" w:rsidRPr="00620AFF" w:rsidRDefault="00702400"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02400" w:rsidRDefault="00702400" w:rsidP="00702400">
            <w:pPr>
              <w:rPr>
                <w:sz w:val="20"/>
              </w:rPr>
            </w:pPr>
            <w:r>
              <w:rPr>
                <w:sz w:val="20"/>
              </w:rPr>
              <w:t>Prior understanding from earlier stages of learning</w:t>
            </w:r>
          </w:p>
        </w:tc>
        <w:tc>
          <w:tcPr>
            <w:tcW w:w="437" w:type="dxa"/>
            <w:vAlign w:val="center"/>
          </w:tcPr>
          <w:p w:rsidR="00702400" w:rsidRDefault="00702400" w:rsidP="00702400">
            <w:pPr>
              <w:jc w:val="center"/>
              <w:rPr>
                <w:sz w:val="20"/>
              </w:rPr>
            </w:pPr>
            <w:r>
              <w:rPr>
                <w:noProof/>
                <w:sz w:val="20"/>
                <w:lang w:eastAsia="en-GB"/>
              </w:rPr>
              <mc:AlternateContent>
                <mc:Choice Requires="wps">
                  <w:drawing>
                    <wp:inline distT="0" distB="0" distL="0" distR="0" wp14:anchorId="3CA0381C" wp14:editId="69955626">
                      <wp:extent cx="200025" cy="209550"/>
                      <wp:effectExtent l="0" t="0" r="9525" b="6350"/>
                      <wp:docPr id="35" name="Text Box 35"/>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02400" w:rsidRPr="00620AFF" w:rsidRDefault="00702400" w:rsidP="00C910AC">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CA0381C" id="Text Box 35"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Ilv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4iCJb1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02400" w:rsidRPr="00620AFF" w:rsidRDefault="00702400" w:rsidP="00C910AC">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702400" w:rsidRDefault="00702400" w:rsidP="00702400">
            <w:pPr>
              <w:rPr>
                <w:sz w:val="20"/>
              </w:rPr>
            </w:pPr>
            <w:r>
              <w:rPr>
                <w:sz w:val="20"/>
              </w:rPr>
              <w:t>Bridge to later stages of learning</w:t>
            </w:r>
          </w:p>
        </w:tc>
      </w:tr>
    </w:tbl>
    <w:p w:rsidR="0086448F" w:rsidRPr="0086448F" w:rsidRDefault="0086448F" w:rsidP="00457E06">
      <w:pPr>
        <w:rPr>
          <w:i/>
          <w:sz w:val="20"/>
        </w:rPr>
      </w:pPr>
    </w:p>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AB1091" w:rsidRPr="00D2452D" w:rsidTr="00954230">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E73EEF" w:rsidRDefault="00AB3A12" w:rsidP="00AB1091">
            <w:pPr>
              <w:jc w:val="center"/>
              <w:rPr>
                <w:rFonts w:cstheme="minorHAnsi"/>
                <w:b/>
              </w:rPr>
            </w:pPr>
            <w:r w:rsidRPr="00AB3A12">
              <w:rPr>
                <w:rFonts w:cstheme="minorHAnsi"/>
                <w:b/>
              </w:rPr>
              <w:lastRenderedPageBreak/>
              <w:t>A random question</w:t>
            </w:r>
          </w:p>
        </w:tc>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AB3A12" w:rsidP="00AB1091">
            <w:pPr>
              <w:jc w:val="center"/>
              <w:rPr>
                <w:rFonts w:cstheme="minorHAnsi"/>
                <w:b/>
              </w:rPr>
            </w:pPr>
            <w:r w:rsidRPr="00AB3A12">
              <w:rPr>
                <w:rFonts w:cstheme="minorHAnsi"/>
                <w:b/>
              </w:rPr>
              <w:t>Heads or tails?</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AB3A12" w:rsidP="00AB1091">
            <w:pPr>
              <w:jc w:val="center"/>
              <w:rPr>
                <w:rFonts w:cstheme="minorHAnsi"/>
                <w:b/>
              </w:rPr>
            </w:pPr>
            <w:r w:rsidRPr="00AB3A12">
              <w:rPr>
                <w:rFonts w:cstheme="minorHAnsi"/>
                <w:b/>
              </w:rPr>
              <w:t>Tossing coins</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AB3A12" w:rsidP="00AB1091">
            <w:pPr>
              <w:jc w:val="center"/>
              <w:rPr>
                <w:rFonts w:cstheme="minorHAnsi"/>
                <w:b/>
              </w:rPr>
            </w:pPr>
            <w:r w:rsidRPr="00AB3A12">
              <w:rPr>
                <w:rFonts w:cstheme="minorHAnsi"/>
                <w:b/>
              </w:rPr>
              <w:t xml:space="preserve">Radioactive </w:t>
            </w:r>
            <w:r w:rsidR="005F5595">
              <w:rPr>
                <w:rFonts w:cstheme="minorHAnsi"/>
                <w:b/>
              </w:rPr>
              <w:t>material</w:t>
            </w:r>
          </w:p>
        </w:tc>
        <w:tc>
          <w:tcPr>
            <w:tcW w:w="2790"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AB1091" w:rsidRPr="00B5392B" w:rsidRDefault="00453980" w:rsidP="00AB1091">
            <w:pPr>
              <w:jc w:val="center"/>
              <w:rPr>
                <w:rFonts w:cstheme="minorHAnsi"/>
                <w:b/>
              </w:rPr>
            </w:pPr>
            <w:r>
              <w:rPr>
                <w:rFonts w:cstheme="minorHAnsi"/>
                <w:b/>
              </w:rPr>
              <w:t>Radioactive half-life</w:t>
            </w:r>
          </w:p>
        </w:tc>
      </w:tr>
      <w:tr w:rsidR="00AB1091" w:rsidTr="00954230">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AB1091" w:rsidRPr="00E73EEF" w:rsidRDefault="00473EF7" w:rsidP="00AB1091">
            <w:pPr>
              <w:jc w:val="center"/>
              <w:rPr>
                <w:b/>
                <w:sz w:val="24"/>
              </w:rPr>
            </w:pPr>
            <w:r>
              <w:rPr>
                <w:b/>
                <w:noProof/>
                <w:sz w:val="24"/>
                <w:lang w:eastAsia="en-GB"/>
              </w:rPr>
              <w:drawing>
                <wp:inline distT="0" distB="0" distL="0" distR="0">
                  <wp:extent cx="1524875" cy="2160000"/>
                  <wp:effectExtent l="19050" t="19050" r="1841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249DB1.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875"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5F497A" w:themeColor="accent4" w:themeShade="BF"/>
            </w:tcBorders>
            <w:vAlign w:val="center"/>
          </w:tcPr>
          <w:p w:rsidR="00AB1091" w:rsidRDefault="008247BC"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31336" cy="2160000"/>
                  <wp:effectExtent l="19050" t="19050" r="1206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24267F.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31336"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AB1091" w:rsidRDefault="00FD2EAF"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26789" cy="2160000"/>
                  <wp:effectExtent l="19050" t="19050" r="1651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24BA17.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AB1091" w:rsidRDefault="00370A63"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32293" cy="2160000"/>
                  <wp:effectExtent l="19050" t="19050" r="1079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44C596.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32293"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5F497A" w:themeColor="accent4" w:themeShade="BF"/>
              <w:bottom w:val="nil"/>
              <w:right w:val="single" w:sz="4" w:space="0" w:color="5F497A" w:themeColor="accent4" w:themeShade="BF"/>
            </w:tcBorders>
            <w:vAlign w:val="center"/>
          </w:tcPr>
          <w:p w:rsidR="00AB1091" w:rsidRDefault="00453980" w:rsidP="00B5392B">
            <w:pPr>
              <w:jc w:val="center"/>
              <w:rPr>
                <w:b/>
                <w:color w:val="5F497A" w:themeColor="accent4" w:themeShade="BF"/>
                <w:sz w:val="24"/>
              </w:rPr>
            </w:pPr>
            <w:r>
              <w:rPr>
                <w:b/>
                <w:noProof/>
                <w:color w:val="5F497A" w:themeColor="accent4" w:themeShade="BF"/>
                <w:sz w:val="24"/>
                <w:lang w:eastAsia="en-GB"/>
              </w:rPr>
              <w:drawing>
                <wp:inline distT="0" distB="0" distL="0" distR="0">
                  <wp:extent cx="1527747" cy="2160000"/>
                  <wp:effectExtent l="19050" t="19050" r="15875"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449DDC.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7747" cy="2160000"/>
                          </a:xfrm>
                          <a:prstGeom prst="rect">
                            <a:avLst/>
                          </a:prstGeom>
                          <a:ln w="6350">
                            <a:solidFill>
                              <a:schemeClr val="accent4">
                                <a:lumMod val="50000"/>
                              </a:schemeClr>
                            </a:solidFill>
                          </a:ln>
                        </pic:spPr>
                      </pic:pic>
                    </a:graphicData>
                  </a:graphic>
                </wp:inline>
              </w:drawing>
            </w:r>
          </w:p>
        </w:tc>
      </w:tr>
      <w:tr w:rsidR="00AB1091" w:rsidTr="00D56F0A">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AB1091" w:rsidRPr="00B5392B" w:rsidRDefault="00473EF7" w:rsidP="00AB1091">
            <w:pPr>
              <w:spacing w:after="120" w:line="276" w:lineRule="auto"/>
              <w:jc w:val="center"/>
            </w:pPr>
            <w:r>
              <w:t>Simple multiple choice</w:t>
            </w:r>
          </w:p>
        </w:tc>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AB1091" w:rsidRPr="00B5392B" w:rsidRDefault="008247BC" w:rsidP="00AB1091">
            <w:pPr>
              <w:spacing w:after="120" w:line="276" w:lineRule="auto"/>
              <w:jc w:val="center"/>
            </w:pPr>
            <w:r>
              <w:t>Simple multiple choice</w:t>
            </w:r>
          </w:p>
        </w:tc>
        <w:tc>
          <w:tcPr>
            <w:tcW w:w="2790" w:type="dxa"/>
            <w:tcBorders>
              <w:top w:val="nil"/>
              <w:left w:val="single" w:sz="4" w:space="0" w:color="5F497A" w:themeColor="accent4" w:themeShade="BF"/>
              <w:bottom w:val="single" w:sz="4" w:space="0" w:color="403152" w:themeColor="accent4" w:themeShade="80"/>
              <w:right w:val="single" w:sz="4" w:space="0" w:color="5F497A" w:themeColor="accent4" w:themeShade="BF"/>
            </w:tcBorders>
            <w:shd w:val="clear" w:color="auto" w:fill="E5DFEC" w:themeFill="accent4" w:themeFillTint="33"/>
            <w:vAlign w:val="center"/>
          </w:tcPr>
          <w:p w:rsidR="00AB1091" w:rsidRPr="00B5392B" w:rsidRDefault="00FD2EAF" w:rsidP="00AB1091">
            <w:pPr>
              <w:spacing w:after="120" w:line="276" w:lineRule="auto"/>
              <w:jc w:val="center"/>
            </w:pPr>
            <w:r>
              <w:t>Simple multiple choice</w:t>
            </w:r>
          </w:p>
        </w:tc>
        <w:tc>
          <w:tcPr>
            <w:tcW w:w="2790" w:type="dxa"/>
            <w:tcBorders>
              <w:top w:val="nil"/>
              <w:left w:val="single" w:sz="4" w:space="0" w:color="5F497A" w:themeColor="accent4" w:themeShade="BF"/>
              <w:bottom w:val="single" w:sz="4" w:space="0" w:color="403152" w:themeColor="accent4" w:themeShade="80"/>
              <w:right w:val="single" w:sz="4" w:space="0" w:color="5F497A" w:themeColor="accent4" w:themeShade="BF"/>
            </w:tcBorders>
            <w:shd w:val="clear" w:color="auto" w:fill="E5DFEC" w:themeFill="accent4" w:themeFillTint="33"/>
            <w:vAlign w:val="center"/>
          </w:tcPr>
          <w:p w:rsidR="00AB1091" w:rsidRPr="00B5392B" w:rsidRDefault="00370A63" w:rsidP="00AB1091">
            <w:pPr>
              <w:spacing w:after="120" w:line="276" w:lineRule="auto"/>
              <w:jc w:val="center"/>
            </w:pPr>
            <w:r>
              <w:t>Confidence grid</w:t>
            </w:r>
          </w:p>
        </w:tc>
        <w:tc>
          <w:tcPr>
            <w:tcW w:w="2790" w:type="dxa"/>
            <w:tcBorders>
              <w:top w:val="nil"/>
              <w:left w:val="single" w:sz="4" w:space="0" w:color="5F497A" w:themeColor="accent4" w:themeShade="BF"/>
              <w:bottom w:val="single" w:sz="4" w:space="0" w:color="403152" w:themeColor="accent4" w:themeShade="80"/>
              <w:right w:val="single" w:sz="4" w:space="0" w:color="5F497A" w:themeColor="accent4" w:themeShade="BF"/>
            </w:tcBorders>
            <w:shd w:val="clear" w:color="auto" w:fill="E5DFEC" w:themeFill="accent4" w:themeFillTint="33"/>
            <w:vAlign w:val="center"/>
          </w:tcPr>
          <w:p w:rsidR="00AB1091" w:rsidRPr="00B5392B" w:rsidRDefault="00453980" w:rsidP="00AB1091">
            <w:pPr>
              <w:spacing w:after="120" w:line="276" w:lineRule="auto"/>
              <w:jc w:val="center"/>
            </w:pPr>
            <w:r>
              <w:t>Simple multiple choice</w:t>
            </w:r>
          </w:p>
        </w:tc>
      </w:tr>
      <w:tr w:rsidR="003B0A6E" w:rsidRPr="00D2452D" w:rsidTr="003B0A6E">
        <w:trPr>
          <w:trHeight w:hRule="exact" w:val="340"/>
        </w:trPr>
        <w:tc>
          <w:tcPr>
            <w:tcW w:w="278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E5DFEC" w:themeFill="accent4" w:themeFillTint="33"/>
            <w:vAlign w:val="center"/>
          </w:tcPr>
          <w:p w:rsidR="003B0A6E" w:rsidRPr="00AC1978" w:rsidRDefault="003B0A6E" w:rsidP="003B0A6E">
            <w:pPr>
              <w:spacing w:line="276" w:lineRule="auto"/>
              <w:jc w:val="center"/>
              <w:rPr>
                <w:b/>
              </w:rPr>
            </w:pPr>
            <w:r>
              <w:rPr>
                <w:b/>
              </w:rPr>
              <w:t>Radioactive half-life graph</w:t>
            </w:r>
          </w:p>
        </w:tc>
        <w:tc>
          <w:tcPr>
            <w:tcW w:w="2789" w:type="dxa"/>
            <w:tcBorders>
              <w:top w:val="single" w:sz="4" w:space="0" w:color="5F497A" w:themeColor="accent4" w:themeShade="BF"/>
              <w:left w:val="single" w:sz="4" w:space="0" w:color="5F497A" w:themeColor="accent4" w:themeShade="BF"/>
              <w:bottom w:val="nil"/>
              <w:right w:val="single" w:sz="4" w:space="0" w:color="403152" w:themeColor="accent4" w:themeShade="80"/>
            </w:tcBorders>
            <w:shd w:val="clear" w:color="auto" w:fill="E5DFEC" w:themeFill="accent4" w:themeFillTint="33"/>
            <w:vAlign w:val="center"/>
          </w:tcPr>
          <w:p w:rsidR="003B0A6E" w:rsidRPr="00AC1978" w:rsidRDefault="003B0A6E" w:rsidP="003B0A6E">
            <w:pPr>
              <w:jc w:val="center"/>
              <w:rPr>
                <w:rFonts w:cstheme="minorHAnsi"/>
                <w:b/>
              </w:rPr>
            </w:pPr>
            <w:r>
              <w:rPr>
                <w:rFonts w:cstheme="minorHAnsi"/>
                <w:b/>
              </w:rPr>
              <w:t>Predicting radioactivity</w:t>
            </w:r>
          </w:p>
        </w:tc>
        <w:tc>
          <w:tcPr>
            <w:tcW w:w="2790" w:type="dxa"/>
            <w:tcBorders>
              <w:top w:val="single" w:sz="4" w:space="0" w:color="403152" w:themeColor="accent4" w:themeShade="80"/>
              <w:left w:val="single" w:sz="4" w:space="0" w:color="403152" w:themeColor="accent4" w:themeShade="80"/>
              <w:bottom w:val="nil"/>
              <w:right w:val="single" w:sz="4" w:space="0" w:color="403152" w:themeColor="accent4" w:themeShade="80"/>
            </w:tcBorders>
            <w:shd w:val="clear" w:color="auto" w:fill="E5DFEC" w:themeFill="accent4" w:themeFillTint="33"/>
            <w:vAlign w:val="center"/>
          </w:tcPr>
          <w:p w:rsidR="003B0A6E" w:rsidRPr="00AC1978" w:rsidRDefault="003B0A6E" w:rsidP="003B0A6E">
            <w:pPr>
              <w:jc w:val="center"/>
              <w:rPr>
                <w:rFonts w:cstheme="minorHAnsi"/>
                <w:b/>
              </w:rPr>
            </w:pPr>
            <w:r>
              <w:rPr>
                <w:rFonts w:cstheme="minorHAnsi"/>
                <w:b/>
              </w:rPr>
              <w:t>Carbon dating</w:t>
            </w:r>
          </w:p>
        </w:tc>
        <w:tc>
          <w:tcPr>
            <w:tcW w:w="2790" w:type="dxa"/>
            <w:tcBorders>
              <w:top w:val="single" w:sz="4" w:space="0" w:color="403152" w:themeColor="accent4" w:themeShade="80"/>
              <w:left w:val="single" w:sz="4" w:space="0" w:color="403152" w:themeColor="accent4" w:themeShade="80"/>
              <w:bottom w:val="nil"/>
              <w:right w:val="single" w:sz="4" w:space="0" w:color="403152" w:themeColor="accent4" w:themeShade="80"/>
            </w:tcBorders>
            <w:shd w:val="clear" w:color="auto" w:fill="B2A1C7" w:themeFill="accent4" w:themeFillTint="99"/>
            <w:vAlign w:val="center"/>
          </w:tcPr>
          <w:p w:rsidR="003B0A6E" w:rsidRPr="00AC1978" w:rsidRDefault="003B0A6E" w:rsidP="003B0A6E">
            <w:pPr>
              <w:jc w:val="center"/>
              <w:rPr>
                <w:rFonts w:cstheme="minorHAnsi"/>
                <w:b/>
              </w:rPr>
            </w:pPr>
            <w:r>
              <w:rPr>
                <w:rFonts w:cstheme="minorHAnsi"/>
                <w:b/>
              </w:rPr>
              <w:t>Half-life of clay dice</w:t>
            </w:r>
          </w:p>
        </w:tc>
        <w:tc>
          <w:tcPr>
            <w:tcW w:w="2790" w:type="dxa"/>
            <w:tcBorders>
              <w:top w:val="single" w:sz="4" w:space="0" w:color="403152" w:themeColor="accent4" w:themeShade="80"/>
              <w:left w:val="single" w:sz="4" w:space="0" w:color="403152" w:themeColor="accent4" w:themeShade="80"/>
              <w:bottom w:val="nil"/>
              <w:right w:val="single" w:sz="4" w:space="0" w:color="403152" w:themeColor="accent4" w:themeShade="80"/>
            </w:tcBorders>
            <w:shd w:val="clear" w:color="auto" w:fill="B2A1C7" w:themeFill="accent4" w:themeFillTint="99"/>
            <w:vAlign w:val="center"/>
          </w:tcPr>
          <w:p w:rsidR="003B0A6E" w:rsidRPr="00D2452D" w:rsidRDefault="003B0A6E" w:rsidP="003B0A6E">
            <w:pPr>
              <w:jc w:val="center"/>
              <w:rPr>
                <w:rFonts w:cstheme="minorHAnsi"/>
                <w:b/>
              </w:rPr>
            </w:pPr>
            <w:r>
              <w:rPr>
                <w:rFonts w:cstheme="minorHAnsi"/>
                <w:b/>
              </w:rPr>
              <w:t>Half-life of pizza</w:t>
            </w:r>
          </w:p>
        </w:tc>
      </w:tr>
      <w:tr w:rsidR="003B0A6E" w:rsidTr="00D56F0A">
        <w:trPr>
          <w:trHeight w:hRule="exact" w:val="3515"/>
        </w:trPr>
        <w:tc>
          <w:tcPr>
            <w:tcW w:w="2789" w:type="dxa"/>
            <w:tcBorders>
              <w:top w:val="nil"/>
              <w:left w:val="single" w:sz="4" w:space="0" w:color="5F497A" w:themeColor="accent4" w:themeShade="BF"/>
              <w:bottom w:val="nil"/>
              <w:right w:val="single" w:sz="4" w:space="0" w:color="5F497A" w:themeColor="accent4" w:themeShade="BF"/>
            </w:tcBorders>
            <w:vAlign w:val="center"/>
          </w:tcPr>
          <w:p w:rsidR="003B0A6E" w:rsidRPr="00FC1013" w:rsidRDefault="003B0A6E" w:rsidP="003B0A6E">
            <w:pPr>
              <w:jc w:val="center"/>
            </w:pPr>
            <w:r>
              <w:rPr>
                <w:noProof/>
                <w:lang w:eastAsia="en-GB"/>
              </w:rPr>
              <w:drawing>
                <wp:inline distT="0" distB="0" distL="0" distR="0" wp14:anchorId="350C328F" wp14:editId="2FFC7250">
                  <wp:extent cx="1523200" cy="2160000"/>
                  <wp:effectExtent l="19050" t="19050" r="2032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449F8.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3200" cy="2160000"/>
                          </a:xfrm>
                          <a:prstGeom prst="rect">
                            <a:avLst/>
                          </a:prstGeom>
                          <a:ln w="6350">
                            <a:solidFill>
                              <a:schemeClr val="accent4">
                                <a:lumMod val="50000"/>
                              </a:schemeClr>
                            </a:solidFill>
                          </a:ln>
                        </pic:spPr>
                      </pic:pic>
                    </a:graphicData>
                  </a:graphic>
                </wp:inline>
              </w:drawing>
            </w:r>
          </w:p>
        </w:tc>
        <w:tc>
          <w:tcPr>
            <w:tcW w:w="2789" w:type="dxa"/>
            <w:tcBorders>
              <w:top w:val="nil"/>
              <w:left w:val="single" w:sz="4" w:space="0" w:color="5F497A" w:themeColor="accent4" w:themeShade="BF"/>
              <w:bottom w:val="nil"/>
              <w:right w:val="single" w:sz="4" w:space="0" w:color="403152" w:themeColor="accent4" w:themeShade="80"/>
            </w:tcBorders>
            <w:vAlign w:val="center"/>
          </w:tcPr>
          <w:p w:rsidR="003B0A6E" w:rsidRPr="00FC1013" w:rsidRDefault="003B0A6E" w:rsidP="003B0A6E">
            <w:pPr>
              <w:jc w:val="center"/>
            </w:pPr>
            <w:r>
              <w:rPr>
                <w:noProof/>
                <w:lang w:eastAsia="en-GB"/>
              </w:rPr>
              <w:drawing>
                <wp:inline distT="0" distB="0" distL="0" distR="0" wp14:anchorId="02BA4327" wp14:editId="3EAEEBB6">
                  <wp:extent cx="1526789" cy="2160000"/>
                  <wp:effectExtent l="19050" t="19050" r="1651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00AFF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403152" w:themeColor="accent4" w:themeShade="80"/>
              <w:bottom w:val="nil"/>
              <w:right w:val="single" w:sz="4" w:space="0" w:color="403152" w:themeColor="accent4" w:themeShade="80"/>
            </w:tcBorders>
            <w:vAlign w:val="center"/>
          </w:tcPr>
          <w:p w:rsidR="003B0A6E" w:rsidRPr="00FC1013" w:rsidRDefault="007B348E" w:rsidP="003B0A6E">
            <w:pPr>
              <w:jc w:val="center"/>
            </w:pPr>
            <w:r>
              <w:rPr>
                <w:noProof/>
                <w:lang w:eastAsia="en-GB"/>
              </w:rPr>
              <w:drawing>
                <wp:inline distT="0" distB="0" distL="0" distR="0">
                  <wp:extent cx="1517217" cy="2160000"/>
                  <wp:effectExtent l="19050" t="19050" r="26035"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9EC2EE5.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17217"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403152" w:themeColor="accent4" w:themeShade="80"/>
              <w:bottom w:val="nil"/>
              <w:right w:val="single" w:sz="4" w:space="0" w:color="403152" w:themeColor="accent4" w:themeShade="80"/>
            </w:tcBorders>
            <w:vAlign w:val="center"/>
          </w:tcPr>
          <w:p w:rsidR="003B0A6E" w:rsidRPr="00FC1013" w:rsidRDefault="003B0A6E" w:rsidP="003B0A6E">
            <w:pPr>
              <w:jc w:val="center"/>
            </w:pPr>
            <w:r>
              <w:rPr>
                <w:noProof/>
                <w:lang w:eastAsia="en-GB"/>
              </w:rPr>
              <w:drawing>
                <wp:inline distT="0" distB="0" distL="0" distR="0" wp14:anchorId="7AE2660D" wp14:editId="5A71EC65">
                  <wp:extent cx="1528704" cy="2160000"/>
                  <wp:effectExtent l="19050" t="19050" r="14605"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9453AE.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8704" cy="2160000"/>
                          </a:xfrm>
                          <a:prstGeom prst="rect">
                            <a:avLst/>
                          </a:prstGeom>
                          <a:ln w="6350">
                            <a:solidFill>
                              <a:schemeClr val="accent4">
                                <a:lumMod val="50000"/>
                              </a:schemeClr>
                            </a:solidFill>
                          </a:ln>
                        </pic:spPr>
                      </pic:pic>
                    </a:graphicData>
                  </a:graphic>
                </wp:inline>
              </w:drawing>
            </w:r>
          </w:p>
        </w:tc>
        <w:tc>
          <w:tcPr>
            <w:tcW w:w="2790" w:type="dxa"/>
            <w:tcBorders>
              <w:top w:val="nil"/>
              <w:left w:val="single" w:sz="4" w:space="0" w:color="403152" w:themeColor="accent4" w:themeShade="80"/>
              <w:bottom w:val="nil"/>
              <w:right w:val="single" w:sz="4" w:space="0" w:color="403152" w:themeColor="accent4" w:themeShade="80"/>
            </w:tcBorders>
            <w:shd w:val="clear" w:color="auto" w:fill="auto"/>
            <w:vAlign w:val="center"/>
          </w:tcPr>
          <w:p w:rsidR="003B0A6E" w:rsidRPr="00FC1013" w:rsidRDefault="003B0A6E" w:rsidP="003B0A6E">
            <w:pPr>
              <w:jc w:val="center"/>
            </w:pPr>
            <w:r>
              <w:rPr>
                <w:noProof/>
                <w:lang w:eastAsia="en-GB"/>
              </w:rPr>
              <w:drawing>
                <wp:inline distT="0" distB="0" distL="0" distR="0" wp14:anchorId="5F86B947" wp14:editId="4E7EC9C9">
                  <wp:extent cx="1526789" cy="2160000"/>
                  <wp:effectExtent l="19050" t="19050" r="1651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9EC749B.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r>
      <w:tr w:rsidR="003B0A6E" w:rsidTr="003B0A6E">
        <w:trPr>
          <w:trHeight w:hRule="exact" w:val="454"/>
        </w:trPr>
        <w:tc>
          <w:tcPr>
            <w:tcW w:w="2789" w:type="dxa"/>
            <w:tcBorders>
              <w:top w:val="nil"/>
              <w:left w:val="single" w:sz="4" w:space="0" w:color="5F497A" w:themeColor="accent4" w:themeShade="BF"/>
              <w:bottom w:val="single" w:sz="4" w:space="0" w:color="5F497A" w:themeColor="accent4" w:themeShade="BF"/>
              <w:right w:val="single" w:sz="4" w:space="0" w:color="5F497A" w:themeColor="accent4" w:themeShade="BF"/>
            </w:tcBorders>
            <w:shd w:val="clear" w:color="auto" w:fill="E5DFEC" w:themeFill="accent4" w:themeFillTint="33"/>
            <w:vAlign w:val="center"/>
          </w:tcPr>
          <w:p w:rsidR="003B0A6E" w:rsidRPr="00FC1013" w:rsidRDefault="003B0A6E" w:rsidP="003B0A6E">
            <w:pPr>
              <w:spacing w:after="120" w:line="276" w:lineRule="auto"/>
              <w:jc w:val="center"/>
            </w:pPr>
            <w:r>
              <w:t>Confidence grid</w:t>
            </w:r>
          </w:p>
        </w:tc>
        <w:tc>
          <w:tcPr>
            <w:tcW w:w="2789" w:type="dxa"/>
            <w:tcBorders>
              <w:top w:val="nil"/>
              <w:left w:val="single" w:sz="4" w:space="0" w:color="5F497A" w:themeColor="accent4" w:themeShade="BF"/>
              <w:bottom w:val="single" w:sz="4" w:space="0" w:color="5F497A" w:themeColor="accent4" w:themeShade="BF"/>
              <w:right w:val="single" w:sz="4" w:space="0" w:color="403152" w:themeColor="accent4" w:themeShade="80"/>
            </w:tcBorders>
            <w:shd w:val="clear" w:color="auto" w:fill="E5DFEC" w:themeFill="accent4" w:themeFillTint="33"/>
            <w:vAlign w:val="center"/>
          </w:tcPr>
          <w:p w:rsidR="003B0A6E" w:rsidRPr="00FC1013" w:rsidRDefault="003B0A6E" w:rsidP="003B0A6E">
            <w:pPr>
              <w:spacing w:after="120" w:line="276" w:lineRule="auto"/>
              <w:jc w:val="center"/>
            </w:pPr>
            <w:r>
              <w:t>Simple multiple choice</w:t>
            </w:r>
          </w:p>
        </w:tc>
        <w:tc>
          <w:tcPr>
            <w:tcW w:w="2790" w:type="dxa"/>
            <w:tcBorders>
              <w:top w:val="nil"/>
              <w:left w:val="single" w:sz="4" w:space="0" w:color="403152" w:themeColor="accent4" w:themeShade="80"/>
              <w:bottom w:val="single" w:sz="4" w:space="0" w:color="403152" w:themeColor="accent4" w:themeShade="80"/>
              <w:right w:val="single" w:sz="4" w:space="0" w:color="403152" w:themeColor="accent4" w:themeShade="80"/>
            </w:tcBorders>
            <w:shd w:val="clear" w:color="auto" w:fill="E5DFEC" w:themeFill="accent4" w:themeFillTint="33"/>
            <w:vAlign w:val="center"/>
          </w:tcPr>
          <w:p w:rsidR="003B0A6E" w:rsidRPr="00FC1013" w:rsidRDefault="007B348E" w:rsidP="003B0A6E">
            <w:pPr>
              <w:spacing w:after="120" w:line="276" w:lineRule="auto"/>
              <w:jc w:val="center"/>
            </w:pPr>
            <w:r>
              <w:t>Linking ideas</w:t>
            </w:r>
          </w:p>
        </w:tc>
        <w:tc>
          <w:tcPr>
            <w:tcW w:w="2790" w:type="dxa"/>
            <w:tcBorders>
              <w:top w:val="nil"/>
              <w:left w:val="single" w:sz="4" w:space="0" w:color="403152" w:themeColor="accent4" w:themeShade="80"/>
              <w:bottom w:val="single" w:sz="4" w:space="0" w:color="403152" w:themeColor="accent4" w:themeShade="80"/>
              <w:right w:val="single" w:sz="4" w:space="0" w:color="403152" w:themeColor="accent4" w:themeShade="80"/>
            </w:tcBorders>
            <w:shd w:val="clear" w:color="auto" w:fill="B2A1C7" w:themeFill="accent4" w:themeFillTint="99"/>
            <w:vAlign w:val="center"/>
          </w:tcPr>
          <w:p w:rsidR="003B0A6E" w:rsidRPr="00FC1013" w:rsidRDefault="003B0A6E" w:rsidP="003B0A6E">
            <w:pPr>
              <w:spacing w:after="120" w:line="276" w:lineRule="auto"/>
              <w:jc w:val="center"/>
            </w:pPr>
            <w:r>
              <w:t>Clarifying - modelling</w:t>
            </w:r>
          </w:p>
        </w:tc>
        <w:tc>
          <w:tcPr>
            <w:tcW w:w="2790" w:type="dxa"/>
            <w:tcBorders>
              <w:top w:val="nil"/>
              <w:left w:val="single" w:sz="4" w:space="0" w:color="403152" w:themeColor="accent4" w:themeShade="80"/>
              <w:bottom w:val="single" w:sz="4" w:space="0" w:color="403152" w:themeColor="accent4" w:themeShade="80"/>
              <w:right w:val="single" w:sz="4" w:space="0" w:color="403152" w:themeColor="accent4" w:themeShade="80"/>
            </w:tcBorders>
            <w:shd w:val="clear" w:color="auto" w:fill="B2A1C7" w:themeFill="accent4" w:themeFillTint="99"/>
            <w:vAlign w:val="center"/>
          </w:tcPr>
          <w:p w:rsidR="003B0A6E" w:rsidRPr="00FC1013" w:rsidRDefault="003B0A6E" w:rsidP="003B0A6E">
            <w:pPr>
              <w:spacing w:after="120" w:line="276" w:lineRule="auto"/>
              <w:jc w:val="center"/>
            </w:pPr>
            <w:r>
              <w:t>Critiquing a representation</w:t>
            </w:r>
          </w:p>
        </w:tc>
      </w:tr>
    </w:tbl>
    <w:p w:rsidR="00C910AC" w:rsidRDefault="00C910AC">
      <w:pPr>
        <w:spacing w:after="200" w:line="276" w:lineRule="auto"/>
        <w:rPr>
          <w:b/>
          <w:color w:val="5F497A" w:themeColor="accent4" w:themeShade="BF"/>
          <w:sz w:val="24"/>
        </w:rPr>
      </w:pPr>
    </w:p>
    <w:p w:rsidR="00FB1FF6" w:rsidRPr="00CE7273" w:rsidRDefault="00FB1FF6" w:rsidP="00954230">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8842F0" w:rsidRDefault="008842F0" w:rsidP="008842F0">
      <w:pPr>
        <w:spacing w:after="200" w:line="276" w:lineRule="auto"/>
      </w:pPr>
      <w:r>
        <w:t>Over time the nuclei of a radioactive isotope decay randomly into other more stable nuclei. It is impossible to predict when any specific nucleus will decay, but it is possible to predict the half-life of a radioactive isotope.</w:t>
      </w:r>
    </w:p>
    <w:p w:rsidR="008842F0" w:rsidRDefault="008842F0" w:rsidP="008842F0">
      <w:pPr>
        <w:spacing w:after="200" w:line="276" w:lineRule="auto"/>
      </w:pPr>
      <w:r>
        <w:t xml:space="preserve">The half-life of a radioactive isotope is the time it takes for half of its nuclei to decay into other more stable nuclei. The half-life of a radioactive isotope remains constant over time. </w:t>
      </w:r>
    </w:p>
    <w:p w:rsidR="008842F0" w:rsidRDefault="008842F0" w:rsidP="008842F0">
      <w:pPr>
        <w:spacing w:after="200" w:line="276" w:lineRule="auto"/>
      </w:pPr>
      <w:r>
        <w:t>After a second half</w:t>
      </w:r>
      <w:r w:rsidR="00DC44AC">
        <w:t>-</w:t>
      </w:r>
      <w:r>
        <w:t>life, half of the remaining half of the radioactive isotope’s nuclei will have decayed into more stable nuclei; after a third half-life, half of the remaining quarter; and so on.</w:t>
      </w:r>
      <w:r w:rsidRPr="000A3DA4">
        <w:t xml:space="preserve"> </w:t>
      </w:r>
    </w:p>
    <w:p w:rsidR="008842F0" w:rsidRDefault="008842F0" w:rsidP="008842F0">
      <w:pPr>
        <w:spacing w:after="200" w:line="276" w:lineRule="auto"/>
      </w:pPr>
      <w:r>
        <w:t>Different radioactive isotopes have different half-lives.</w:t>
      </w:r>
    </w:p>
    <w:p w:rsidR="00A314B6" w:rsidRPr="00862126" w:rsidRDefault="00A314B6" w:rsidP="00985C3D">
      <w:pPr>
        <w:spacing w:after="180"/>
        <w:rPr>
          <w:b/>
          <w:color w:val="5F497A"/>
          <w:sz w:val="24"/>
        </w:rPr>
      </w:pPr>
      <w:r w:rsidRPr="00365537">
        <w:rPr>
          <w:b/>
          <w:color w:val="5F497A"/>
          <w:sz w:val="24"/>
        </w:rPr>
        <w:t>Earlier development of understanding (BEST 11-14)</w:t>
      </w:r>
    </w:p>
    <w:p w:rsidR="00954230" w:rsidRDefault="00954230" w:rsidP="00954230">
      <w:pPr>
        <w:spacing w:after="180"/>
      </w:pPr>
      <w:r w:rsidRPr="00457E06">
        <w:t>When applying their understanding</w:t>
      </w:r>
      <w:r w:rsidRPr="00AD20A5">
        <w:t xml:space="preserve"> to novel situations, students of all ages often revert to earlier misunderstandings. Before moving forward</w:t>
      </w:r>
      <w:r w:rsidR="00261631">
        <w:t>,</w:t>
      </w:r>
      <w:r w:rsidRPr="00AD20A5">
        <w:t xml:space="preserve">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 xml:space="preserve">before moving forward can accelerate progression later. </w:t>
      </w:r>
    </w:p>
    <w:p w:rsidR="0022751A" w:rsidRDefault="00365537" w:rsidP="0022751A">
      <w:r>
        <w:t>This key concept does not build directly on key concepts in BEST 11-14, but rather on the earlier key concepts in the BEST topic: Nuclear physics, of which this key concept is a part.</w:t>
      </w:r>
    </w:p>
    <w:p w:rsidR="00FB1FF6" w:rsidRDefault="00FB1FF6" w:rsidP="00954230">
      <w:pPr>
        <w:spacing w:before="180" w:after="180"/>
        <w:rPr>
          <w:b/>
          <w:color w:val="5F497A" w:themeColor="accent4" w:themeShade="BF"/>
          <w:sz w:val="24"/>
        </w:rPr>
      </w:pPr>
      <w:r w:rsidRPr="00576EE0">
        <w:rPr>
          <w:b/>
          <w:color w:val="5F497A" w:themeColor="accent4" w:themeShade="BF"/>
          <w:sz w:val="24"/>
        </w:rPr>
        <w:t>What does the research say?</w:t>
      </w:r>
    </w:p>
    <w:p w:rsidR="00750E6E" w:rsidRDefault="00750E6E" w:rsidP="00750E6E">
      <w:pPr>
        <w:spacing w:after="180"/>
        <w:rPr>
          <w:rFonts w:cstheme="minorBidi"/>
        </w:rPr>
      </w:pPr>
      <w:r>
        <w:t>Students often have difficulty in understanding what randomness is, and they find it even harder to understand how something predictable, like radioactive half-life, can emerge from a set of random events</w:t>
      </w:r>
      <w:r w:rsidR="00576EE0">
        <w:t xml:space="preserve"> </w:t>
      </w:r>
      <w:r w:rsidR="00576EE0">
        <w:fldChar w:fldCharType="begin"/>
      </w:r>
      <w:r w:rsidR="00576EE0">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rsidR="00576EE0">
        <w:fldChar w:fldCharType="separate"/>
      </w:r>
      <w:r w:rsidR="00576EE0">
        <w:rPr>
          <w:noProof/>
        </w:rPr>
        <w:t>(Hull and Hopf, 2020)</w:t>
      </w:r>
      <w:r w:rsidR="00576EE0">
        <w:fldChar w:fldCharType="end"/>
      </w:r>
      <w:r>
        <w:t xml:space="preserve">. In </w:t>
      </w:r>
      <w:r w:rsidR="00F11E4D">
        <w:t>a</w:t>
      </w:r>
      <w:r>
        <w:t xml:space="preserve"> review, of the research about how students are able to understand and use probability-related ideas in science topics, Hull, </w:t>
      </w:r>
      <w:proofErr w:type="spellStart"/>
      <w:r>
        <w:t>Janksky</w:t>
      </w:r>
      <w:proofErr w:type="spellEnd"/>
      <w:r>
        <w:t xml:space="preserve"> and </w:t>
      </w:r>
      <w:proofErr w:type="spellStart"/>
      <w:r>
        <w:t>Hopf</w:t>
      </w:r>
      <w:proofErr w:type="spellEnd"/>
      <w:r>
        <w:t xml:space="preserve">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explore why these ideas are so challenging.</w:t>
      </w:r>
    </w:p>
    <w:p w:rsidR="001E5AF8" w:rsidRDefault="00750E6E" w:rsidP="00750E6E">
      <w:pPr>
        <w:spacing w:after="180"/>
      </w:pPr>
      <w:r>
        <w:t>A common misunderstanding about randomness is known as the gambler’s fallacy. This states that if a roulette ball has landed on</w:t>
      </w:r>
      <w:r w:rsidR="00AE3132">
        <w:t xml:space="preserve"> </w:t>
      </w:r>
      <w:r>
        <w:t xml:space="preserve">black several times in a row, then next time it is more likely to land on red </w:t>
      </w:r>
      <w:r>
        <w:fldChar w:fldCharType="begin"/>
      </w:r>
      <w:r>
        <w:instrText xml:space="preserve"> ADDIN EN.CITE &lt;EndNote&gt;&lt;Cite&gt;&lt;Author&gt;Hull&lt;/Author&gt;&lt;Year&gt;2021&lt;/Year&gt;&lt;IDText&gt;Probability-related naive ideas across physics topics&lt;/IDText&gt;&lt;DisplayText&gt;(Hull et al., 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(Hull et al., 2021)</w:t>
      </w:r>
      <w:r>
        <w:fldChar w:fldCharType="end"/>
      </w:r>
      <w:r>
        <w:t xml:space="preserve">. Instead, because </w:t>
      </w:r>
      <w:r w:rsidR="00FC5D84">
        <w:t>it</w:t>
      </w:r>
      <w:r>
        <w:t xml:space="preserve"> is a random event, the next roulette ball is equally likely to land on either red or black. </w:t>
      </w:r>
      <w:r w:rsidR="002475B5">
        <w:t xml:space="preserve">An explanation for this </w:t>
      </w:r>
      <w:r w:rsidR="00FC5D84">
        <w:t xml:space="preserve">misunderstanding </w:t>
      </w:r>
      <w:r w:rsidR="002475B5">
        <w:t>is that</w:t>
      </w:r>
      <w:r>
        <w:t xml:space="preserve"> people </w:t>
      </w:r>
      <w:r w:rsidR="002475B5">
        <w:t>may be</w:t>
      </w:r>
      <w:r>
        <w:t xml:space="preserve"> imposing their idea of what they think a random pattern should look like, in order to predict what they expect to happen. </w:t>
      </w:r>
      <w:r w:rsidR="001E5AF8">
        <w:t>A</w:t>
      </w:r>
      <w:r w:rsidR="00E2147D">
        <w:t>nother</w:t>
      </w:r>
      <w:r w:rsidR="002475B5">
        <w:t xml:space="preserve"> misunderstanding is </w:t>
      </w:r>
      <w:r w:rsidR="00AD03B7">
        <w:t>to think that</w:t>
      </w:r>
      <w:r>
        <w:t xml:space="preserve"> an event is </w:t>
      </w:r>
      <w:r w:rsidRPr="00AD03B7">
        <w:rPr>
          <w:i/>
        </w:rPr>
        <w:t>random</w:t>
      </w:r>
      <w:r>
        <w:t xml:space="preserve"> only because there is </w:t>
      </w:r>
      <w:r>
        <w:rPr>
          <w:i/>
        </w:rPr>
        <w:t>insufficient</w:t>
      </w:r>
      <w:r w:rsidRPr="00AD03B7">
        <w:rPr>
          <w:i/>
        </w:rPr>
        <w:t xml:space="preserve"> information</w:t>
      </w:r>
      <w:r>
        <w:t xml:space="preserve"> to </w:t>
      </w:r>
      <w:r w:rsidR="002475B5">
        <w:t>know</w:t>
      </w:r>
      <w:r>
        <w:t xml:space="preserve"> for sure what will happen. </w:t>
      </w:r>
      <w:r w:rsidR="002475B5">
        <w:t xml:space="preserve">In this case, the term </w:t>
      </w:r>
      <w:r w:rsidR="00670FB9">
        <w:t>‘</w:t>
      </w:r>
      <w:r w:rsidR="002475B5">
        <w:t>randomness</w:t>
      </w:r>
      <w:r w:rsidR="00670FB9">
        <w:t>’</w:t>
      </w:r>
      <w:r w:rsidR="002475B5">
        <w:t xml:space="preserve"> </w:t>
      </w:r>
      <w:r w:rsidR="00E2147D">
        <w:t xml:space="preserve">is being used </w:t>
      </w:r>
      <w:r w:rsidR="002475B5">
        <w:t>to describe unpredictability, which is not the same thing.</w:t>
      </w:r>
      <w:r w:rsidR="0058434C">
        <w:t xml:space="preserve"> </w:t>
      </w:r>
    </w:p>
    <w:p w:rsidR="00750E6E" w:rsidRDefault="001E5AF8" w:rsidP="00750E6E">
      <w:pPr>
        <w:spacing w:after="180"/>
      </w:pPr>
      <w:r>
        <w:lastRenderedPageBreak/>
        <w:t>S</w:t>
      </w:r>
      <w:r w:rsidR="00750E6E">
        <w:t xml:space="preserve">tudents </w:t>
      </w:r>
      <w:r>
        <w:t xml:space="preserve">often </w:t>
      </w:r>
      <w:r w:rsidR="0058434C">
        <w:t xml:space="preserve">think </w:t>
      </w:r>
      <w:r>
        <w:t xml:space="preserve">that </w:t>
      </w:r>
      <w:r w:rsidR="00750E6E">
        <w:t xml:space="preserve">random events </w:t>
      </w:r>
      <w:r>
        <w:t>are ones</w:t>
      </w:r>
      <w:r w:rsidR="00750E6E">
        <w:t xml:space="preserve"> </w:t>
      </w:r>
      <w:r>
        <w:t>for</w:t>
      </w:r>
      <w:r w:rsidR="00750E6E">
        <w:t xml:space="preserve"> which outcome</w:t>
      </w:r>
      <w:r>
        <w:t>s</w:t>
      </w:r>
      <w:r w:rsidR="00750E6E">
        <w:t xml:space="preserve"> </w:t>
      </w:r>
      <w:r>
        <w:t>are</w:t>
      </w:r>
      <w:r w:rsidR="00750E6E">
        <w:t xml:space="preserve"> unpredictable and </w:t>
      </w:r>
      <w:r>
        <w:t xml:space="preserve">that </w:t>
      </w:r>
      <w:r w:rsidR="00750E6E">
        <w:t xml:space="preserve">equations and other models are not useful </w:t>
      </w:r>
      <w:r>
        <w:t>for</w:t>
      </w:r>
      <w:r w:rsidR="00750E6E">
        <w:t xml:space="preserve"> describ</w:t>
      </w:r>
      <w:r>
        <w:t>ing</w:t>
      </w:r>
      <w:r w:rsidR="00750E6E">
        <w:t xml:space="preserve"> them. </w:t>
      </w:r>
      <w:r>
        <w:t>Conversely</w:t>
      </w:r>
      <w:r w:rsidR="0058434C">
        <w:t>, w</w:t>
      </w:r>
      <w:r w:rsidR="00750E6E">
        <w:t>hen events lead to predictable outcomes</w:t>
      </w:r>
      <w:r>
        <w:t>,</w:t>
      </w:r>
      <w:r w:rsidR="00750E6E">
        <w:t xml:space="preserve"> students typically expect to see a pattern in the outcomes that is determined by a set of rules and perhaps an equation. This </w:t>
      </w:r>
      <w:r w:rsidR="0058434C">
        <w:t xml:space="preserve">thinking </w:t>
      </w:r>
      <w:r w:rsidR="00750E6E">
        <w:t xml:space="preserve">leads many students to </w:t>
      </w:r>
      <w:r w:rsidR="0058434C">
        <w:t>believe</w:t>
      </w:r>
      <w:r w:rsidR="00750E6E">
        <w:t xml:space="preserve"> that random events </w:t>
      </w:r>
      <w:r>
        <w:t>cannot be</w:t>
      </w:r>
      <w:r w:rsidR="00750E6E">
        <w:t xml:space="preserve"> predictab</w:t>
      </w:r>
      <w:r>
        <w:t>le</w:t>
      </w:r>
      <w:r w:rsidR="00750E6E">
        <w:t xml:space="preserve"> and vice versa. </w:t>
      </w:r>
      <w:r w:rsidR="00750E6E">
        <w:fldChar w:fldCharType="begin"/>
      </w:r>
      <w:r w:rsidR="00750E6E">
        <w:instrText xml:space="preserve"> ADDIN EN.CITE &lt;EndNote&gt;&lt;Cite&gt;&lt;Author&gt;Hull&lt;/Author&gt;&lt;Year&gt;2021&lt;/Year&gt;&lt;IDText&gt;Probability-related naive ideas across physics topics&lt;/IDText&gt;&lt;DisplayText&gt;(Hull et al., 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rsidR="00750E6E">
        <w:fldChar w:fldCharType="separate"/>
      </w:r>
      <w:r w:rsidR="00750E6E">
        <w:rPr>
          <w:noProof/>
        </w:rPr>
        <w:t>(Hull et al., 2021)</w:t>
      </w:r>
      <w:r w:rsidR="00750E6E">
        <w:fldChar w:fldCharType="end"/>
      </w:r>
    </w:p>
    <w:p w:rsidR="00750E6E" w:rsidRDefault="00750E6E" w:rsidP="00750E6E">
      <w:pPr>
        <w:spacing w:after="180"/>
      </w:pPr>
      <w:r>
        <w:t xml:space="preserve">Students’ belief that ‘only clearly determined events can lead to predictable outcomes’, is described by Hull et al.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as a </w:t>
      </w:r>
      <w:r w:rsidRPr="00453619">
        <w:rPr>
          <w:i/>
        </w:rPr>
        <w:t>deeply held</w:t>
      </w:r>
      <w:r>
        <w:t xml:space="preserve"> misunderstanding.</w:t>
      </w:r>
      <w:r w:rsidR="008D3A9C">
        <w:t xml:space="preserve"> </w:t>
      </w:r>
      <w:r>
        <w:t xml:space="preserve">It is a misunderstanding that can lead to students forming several other common misunderstandings about radioactive half-life. For this reason, Hull et al. </w:t>
      </w:r>
      <w:r>
        <w:fldChar w:fldCharType="begin"/>
      </w:r>
      <w:r>
        <w:instrText xml:space="preserve"> ADDIN EN.CITE &lt;EndNote&gt;&lt;Cite ExcludeAuth="1"&gt;&lt;Author&gt;Hull&lt;/Author&gt;&lt;Year&gt;2021&lt;/Year&gt;&lt;IDText&gt;Probability-related naive ideas across physics topics&lt;/IDText&gt;&lt;DisplayText&gt;(2021)&lt;/DisplayText&gt;&lt;record&gt;&lt;titles&gt;&lt;title&gt;Probability-related naive ideas across physics topics&lt;/title&gt;&lt;secondary-title&gt;Studies in Science Education&lt;/secondary-title&gt;&lt;/titles&gt;&lt;contributors&gt;&lt;authors&gt;&lt;author&gt;Hull, M. M&lt;/author&gt;&lt;author&gt;Janksky, A&lt;/author&gt;&lt;author&gt;Hopf, M&lt;/author&gt;&lt;/authors&gt;&lt;/contributors&gt;&lt;section&gt;45-83&lt;/section&gt;&lt;added-date format="utc"&gt;1643626751&lt;/added-date&gt;&lt;ref-type name="Journal Article"&gt;17&lt;/ref-type&gt;&lt;dates&gt;&lt;year&gt;2021&lt;/year&gt;&lt;/dates&gt;&lt;rec-number&gt;381&lt;/rec-number&gt;&lt;last-updated-date format="utc"&gt;1643626816&lt;/last-updated-date&gt;&lt;volume&gt;57:1&lt;/volume&gt;&lt;/record&gt;&lt;/Cite&gt;&lt;/EndNote&gt;</w:instrText>
      </w:r>
      <w:r>
        <w:fldChar w:fldCharType="separate"/>
      </w:r>
      <w:r>
        <w:rPr>
          <w:noProof/>
        </w:rPr>
        <w:t>(2021)</w:t>
      </w:r>
      <w:r>
        <w:fldChar w:fldCharType="end"/>
      </w:r>
      <w:r>
        <w:t xml:space="preserve"> strongly recommend that students are taught how random events can sometimes lead to predictable outcomes, and are given opportunity to consolidate that understanding, before learning about radioactive half-life.</w:t>
      </w:r>
    </w:p>
    <w:p w:rsidR="00750E6E" w:rsidRDefault="00750E6E" w:rsidP="00750E6E">
      <w:pPr>
        <w:spacing w:after="180"/>
      </w:pPr>
      <w:r>
        <w:t xml:space="preserve">The </w:t>
      </w:r>
      <w:r w:rsidR="00453619">
        <w:t xml:space="preserve">development of an </w:t>
      </w:r>
      <w:r>
        <w:t xml:space="preserve">understanding of randomness and prediction is challenging and analogies may be </w:t>
      </w:r>
      <w:r w:rsidR="00453619">
        <w:t>helpful</w:t>
      </w:r>
      <w:r>
        <w:t xml:space="preserve">. A </w:t>
      </w:r>
      <w:r w:rsidR="00453619">
        <w:t>use</w:t>
      </w:r>
      <w:r>
        <w:t>ful one to use is that of popcorn being cooked: the order in which in</w:t>
      </w:r>
      <w:r w:rsidR="00F53479">
        <w:t>dividual kernels pop isn’t eas</w:t>
      </w:r>
      <w:r>
        <w:t xml:space="preserve">y to predict; but </w:t>
      </w:r>
      <w:r w:rsidR="00F53479">
        <w:t xml:space="preserve">is easy to predict </w:t>
      </w:r>
      <w:r>
        <w:t>the rate at which they will pop as a whole</w:t>
      </w:r>
      <w:r w:rsidR="00997645">
        <w:t>,</w:t>
      </w:r>
      <w:r>
        <w:t xml:space="preserve"> after a little experimentation. (Brock et al., 2021)</w:t>
      </w:r>
    </w:p>
    <w:p w:rsidR="00750E6E" w:rsidRDefault="00750E6E" w:rsidP="00576EE0">
      <w:pPr>
        <w:spacing w:after="60"/>
      </w:pPr>
      <w:bookmarkStart w:id="1" w:name="_Hlk94702428"/>
      <w:r>
        <w:t>Misunderstandings that may stem from a thinking that ‘only clearly determined events can lead to predictable outcomes’ are:</w:t>
      </w:r>
    </w:p>
    <w:p w:rsidR="00750E6E" w:rsidRDefault="00750E6E" w:rsidP="00576EE0">
      <w:pPr>
        <w:pStyle w:val="ListParagraph"/>
        <w:numPr>
          <w:ilvl w:val="0"/>
          <w:numId w:val="14"/>
        </w:numPr>
        <w:spacing w:after="180"/>
      </w:pPr>
      <w:r>
        <w:t xml:space="preserve">a radioactive material will be safe and no longer radioactive after one half-life </w:t>
      </w:r>
      <w:r>
        <w:fldChar w:fldCharType="begin"/>
      </w:r>
      <w:r>
        <w:instrText xml:space="preserve"> ADDIN EN.CITE &lt;EndNote&gt;&lt;Cite&gt;&lt;Author&gt;Lijnse&lt;/Author&gt;&lt;Year&gt;1990&lt;/Year&gt;&lt;IDText&gt;Pupils&amp;apos; and mass-media ideas about radioactivity&lt;/IDText&gt;&lt;DisplayText&gt;(Lijnse et al., 1990)&lt;/DisplayText&gt;&lt;record&gt;&lt;titles&gt;&lt;title&gt;Pupils&amp;apos; and mass-media ideas about radioactivity&lt;/title&gt;&lt;secondary-title&gt;International Journal of Science Education&lt;/secondary-title&gt;&lt;/titles&gt;&lt;contributors&gt;&lt;authors&gt;&lt;author&gt;Lijnse, P. L&lt;/author&gt;&lt;author&gt;Eijkelhof, H. M. C&lt;/author&gt;&lt;author&gt;Klaassen, C. W. J. M&lt;/author&gt;&lt;author&gt;Scholte, R. L. J&lt;/author&gt;&lt;/authors&gt;&lt;/contributors&gt;&lt;section&gt;67-78&lt;/section&gt;&lt;added-date format="utc"&gt;1641981686&lt;/added-date&gt;&lt;ref-type name="Journal Article"&gt;17&lt;/ref-type&gt;&lt;dates&gt;&lt;year&gt;1990&lt;/year&gt;&lt;/dates&gt;&lt;rec-number&gt;377&lt;/rec-number&gt;&lt;last-updated-date format="utc"&gt;1641981857&lt;/last-updated-date&gt;&lt;volume&gt;12.1&lt;/volume&gt;&lt;/record&gt;&lt;/Cite&gt;&lt;/EndNote&gt;</w:instrText>
      </w:r>
      <w:r>
        <w:fldChar w:fldCharType="separate"/>
      </w:r>
      <w:r>
        <w:rPr>
          <w:noProof/>
        </w:rPr>
        <w:t>(Lijnse et al., 1990)</w:t>
      </w:r>
      <w:r>
        <w:fldChar w:fldCharType="end"/>
      </w:r>
      <w:r>
        <w:t>;</w:t>
      </w:r>
    </w:p>
    <w:p w:rsidR="00750E6E" w:rsidRDefault="00750E6E" w:rsidP="00576EE0">
      <w:pPr>
        <w:pStyle w:val="ListParagraph"/>
        <w:numPr>
          <w:ilvl w:val="0"/>
          <w:numId w:val="14"/>
        </w:numPr>
        <w:spacing w:after="180"/>
      </w:pPr>
      <w:r w:rsidRPr="00576EE0">
        <w:rPr>
          <w:i/>
        </w:rPr>
        <w:t>all</w:t>
      </w:r>
      <w:r>
        <w:t xml:space="preserve"> the radioactive atoms will have decayed after one half-life (or after </w:t>
      </w:r>
      <w:r w:rsidRPr="00576EE0">
        <w:rPr>
          <w:i/>
        </w:rPr>
        <w:t>two</w:t>
      </w:r>
      <w:r>
        <w:t xml:space="preserve"> half-lives); and </w:t>
      </w:r>
    </w:p>
    <w:p w:rsidR="00750E6E" w:rsidRDefault="00750E6E" w:rsidP="00576EE0">
      <w:pPr>
        <w:pStyle w:val="ListParagraph"/>
        <w:numPr>
          <w:ilvl w:val="0"/>
          <w:numId w:val="14"/>
        </w:numPr>
        <w:spacing w:after="180"/>
      </w:pPr>
      <w:r>
        <w:t xml:space="preserve">half-life is a special time before which, or at which, a particular nucleus decays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w:t>
      </w:r>
    </w:p>
    <w:p w:rsidR="00750E6E" w:rsidRDefault="00750E6E" w:rsidP="00750E6E">
      <w:pPr>
        <w:spacing w:after="180"/>
      </w:pPr>
      <w:r>
        <w:t xml:space="preserve">In each of these examples, students appear to have used </w:t>
      </w:r>
      <w:r w:rsidR="008E4469">
        <w:t>the idea that</w:t>
      </w:r>
      <w:r>
        <w:t xml:space="preserve"> ‘half-life’ is predictable, to </w:t>
      </w:r>
      <w:r w:rsidR="008E4469">
        <w:t xml:space="preserve">develop </w:t>
      </w:r>
      <w:r>
        <w:t xml:space="preserve">a misunderstanding that the decay of </w:t>
      </w:r>
      <w:r w:rsidR="008E4469">
        <w:t xml:space="preserve">particular </w:t>
      </w:r>
      <w:r>
        <w:t xml:space="preserve">radioactive atoms is also predictable. The last example </w:t>
      </w:r>
      <w:r w:rsidR="008E4469">
        <w:t xml:space="preserve">additionally </w:t>
      </w:r>
      <w:r>
        <w:t xml:space="preserve">shows how some students (about a third of a sample of 55 students age 13-14) ascribe the predictive nature of a whole sample to a single radioactive nucleus </w:t>
      </w:r>
      <w:r>
        <w:fldChar w:fldCharType="begin"/>
      </w:r>
      <w:r>
        <w:instrText xml:space="preserve"> ADDIN EN.CITE &lt;EndNote&gt;&lt;Cite&gt;&lt;Author&gt;Hull&lt;/Author&gt;&lt;Year&gt;2020&lt;/Year&gt;&lt;IDText&gt;Student Understanding of Emergent Aspects of Radioactivity&lt;/IDText&gt;&lt;DisplayText&gt;(Hull and Hopf, 2020)&lt;/DisplayText&gt;&lt;record&gt;&lt;titles&gt;&lt;title&gt;Student Understanding of Emergent Aspects of Radioactivity&lt;/title&gt;&lt;secondary-title&gt;International Journal of Physics and Chemistry Education&lt;/secondary-title&gt;&lt;/titles&gt;&lt;contributors&gt;&lt;authors&gt;&lt;author&gt;Hull, M. M&lt;/author&gt;&lt;author&gt;Hopf, M&lt;/author&gt;&lt;/authors&gt;&lt;/contributors&gt;&lt;section&gt;19-33&lt;/section&gt;&lt;added-date format="utc"&gt;1643626615&lt;/added-date&gt;&lt;ref-type name="Journal Article"&gt;17&lt;/ref-type&gt;&lt;dates&gt;&lt;year&gt;2020&lt;/year&gt;&lt;/dates&gt;&lt;rec-number&gt;380&lt;/rec-number&gt;&lt;last-updated-date format="utc"&gt;1643626684&lt;/last-updated-date&gt;&lt;volume&gt;12(2)&lt;/volume&gt;&lt;/record&gt;&lt;/Cite&gt;&lt;/EndNote&gt;</w:instrText>
      </w:r>
      <w:r>
        <w:fldChar w:fldCharType="separate"/>
      </w:r>
      <w:r>
        <w:rPr>
          <w:noProof/>
        </w:rPr>
        <w:t>(Hull and Hopf, 2020)</w:t>
      </w:r>
      <w:r>
        <w:fldChar w:fldCharType="end"/>
      </w:r>
      <w:r>
        <w:t>. In fact, an individual radioactive nucleus does not have a half-life</w:t>
      </w:r>
      <w:r w:rsidR="008E4469">
        <w:t xml:space="preserve"> and its decay is random</w:t>
      </w:r>
      <w:r>
        <w:t xml:space="preserve">. Half-life is instead, a </w:t>
      </w:r>
      <w:r>
        <w:rPr>
          <w:i/>
        </w:rPr>
        <w:t>good predictor</w:t>
      </w:r>
      <w:r>
        <w:t xml:space="preserve"> of the time </w:t>
      </w:r>
      <w:r w:rsidR="008E4469">
        <w:t xml:space="preserve">it takes </w:t>
      </w:r>
      <w:r>
        <w:t xml:space="preserve">for half of a sample of </w:t>
      </w:r>
      <w:r>
        <w:rPr>
          <w:i/>
        </w:rPr>
        <w:t>very many</w:t>
      </w:r>
      <w:r>
        <w:t xml:space="preserve"> radioactive nuclei to decay. </w:t>
      </w:r>
    </w:p>
    <w:bookmarkEnd w:id="1"/>
    <w:p w:rsidR="00750E6E" w:rsidRDefault="00750E6E" w:rsidP="00750E6E">
      <w:pPr>
        <w:spacing w:after="180"/>
      </w:pPr>
      <w:r>
        <w:t xml:space="preserve">Another misunderstanding students have is that atoms disappear during radioactive decay </w:t>
      </w:r>
      <w:r>
        <w:fldChar w:fldCharType="begin"/>
      </w:r>
      <w:r>
        <w:instrText xml:space="preserve"> ADDIN EN.CITE &lt;EndNote&gt;&lt;Cite&gt;&lt;Author&gt;Prather&lt;/Author&gt;&lt;Year&gt;2005&lt;/Year&gt;&lt;IDText&gt;Students&amp;apos; beliefs about the role of atoms in radioactive decay and half-life&lt;/IDText&gt;&lt;DisplayText&gt;(Prather, 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(Prather, 2005)</w:t>
      </w:r>
      <w:r>
        <w:fldChar w:fldCharType="end"/>
      </w:r>
      <w:r>
        <w:t xml:space="preserve">. Prather </w:t>
      </w:r>
      <w:r>
        <w:fldChar w:fldCharType="begin"/>
      </w:r>
      <w:r>
        <w:instrText xml:space="preserve"> ADDIN EN.CITE &lt;EndNote&gt;&lt;Cite ExcludeAuth="1"&gt;&lt;Author&gt;Prather&lt;/Author&gt;&lt;Year&gt;2005&lt;/Year&gt;&lt;IDText&gt;Students&amp;apos; beliefs about the role of atoms in radioactive decay and half-life&lt;/IDText&gt;&lt;DisplayText&gt;(2005)&lt;/DisplayText&gt;&lt;record&gt;&lt;titles&gt;&lt;title&gt;Students&amp;apos; beliefs about the role of atoms in radioactive decay and half-life&lt;/title&gt;&lt;secondary-title&gt;Journal of Geoscience Education&lt;/secondary-title&gt;&lt;/titles&gt;&lt;pages&gt;345-354&lt;/pages&gt;&lt;contributors&gt;&lt;authors&gt;&lt;author&gt;Prather, Edward&lt;/author&gt;&lt;/authors&gt;&lt;/contributors&gt;&lt;added-date format="utc"&gt;1631520503&lt;/added-date&gt;&lt;ref-type name="Journal Article"&gt;17&lt;/ref-type&gt;&lt;dates&gt;&lt;year&gt;2005&lt;/year&gt;&lt;/dates&gt;&lt;rec-number&gt;368&lt;/rec-number&gt;&lt;last-updated-date format="utc"&gt;1631520571&lt;/last-updated-date&gt;&lt;volume&gt;53(4)&lt;/volume&gt;&lt;/record&gt;&lt;/Cite&gt;&lt;/EndNote&gt;</w:instrText>
      </w:r>
      <w:r>
        <w:fldChar w:fldCharType="separate"/>
      </w:r>
      <w:r>
        <w:rPr>
          <w:noProof/>
        </w:rPr>
        <w:t>(2005)</w:t>
      </w:r>
      <w:r>
        <w:fldChar w:fldCharType="end"/>
      </w:r>
      <w:r>
        <w:t xml:space="preserve"> found that the majority (59%) of (n=258) undergraduate</w:t>
      </w:r>
      <w:r w:rsidR="008E4469">
        <w:t xml:space="preserve"> student</w:t>
      </w:r>
      <w:r>
        <w:t>s believed that the mass or volume of a radioactive substance would reduce by half during one half-life.</w:t>
      </w:r>
      <w:r w:rsidR="008E4469">
        <w:t xml:space="preserve"> E</w:t>
      </w:r>
      <w:r>
        <w:t xml:space="preserve">xpressed differently, </w:t>
      </w:r>
      <w:r w:rsidR="008E4469">
        <w:t xml:space="preserve">this means </w:t>
      </w:r>
      <w:r>
        <w:t xml:space="preserve">that a radioactive object disappears as it decays. </w:t>
      </w:r>
      <w:r w:rsidR="00C5799B">
        <w:t>This misunderstanding is likely to stem from the fact t</w:t>
      </w:r>
      <w:r>
        <w:t xml:space="preserve">hat is not clear to </w:t>
      </w:r>
      <w:r w:rsidR="00C5799B">
        <w:t xml:space="preserve">a lot of </w:t>
      </w:r>
      <w:r>
        <w:t>students that radioactive materials contain both stable and unstable atoms.</w:t>
      </w:r>
    </w:p>
    <w:p w:rsidR="00340B46" w:rsidRDefault="00340B46" w:rsidP="00FB1FF6">
      <w:pPr>
        <w:spacing w:after="180"/>
        <w:rPr>
          <w:b/>
          <w:color w:val="5F497A" w:themeColor="accent4" w:themeShade="BF"/>
          <w:sz w:val="24"/>
        </w:rPr>
      </w:pPr>
      <w:r>
        <w:rPr>
          <w:b/>
          <w:color w:val="5F497A" w:themeColor="accent4" w:themeShade="BF"/>
          <w:sz w:val="24"/>
        </w:rPr>
        <w:t>Guidance notes</w:t>
      </w:r>
    </w:p>
    <w:p w:rsidR="00FC4E51" w:rsidRPr="00457E06" w:rsidRDefault="00FC4E51" w:rsidP="00FB1FF6">
      <w:pPr>
        <w:spacing w:after="180"/>
      </w:pPr>
      <w:r>
        <w:t>This key concept does not make much reference to background radiation, or to the uses and dangers of radioactivity. These aspects of radioactivity commonly appear in science curriculums for students aged 14-16 and fit well with the ideas covered here.</w:t>
      </w:r>
    </w:p>
    <w:p w:rsidR="00AE458E" w:rsidRDefault="00AE458E">
      <w:pPr>
        <w:spacing w:after="200" w:line="276" w:lineRule="auto"/>
        <w:rPr>
          <w:b/>
          <w:color w:val="5F497A" w:themeColor="accent4" w:themeShade="BF"/>
          <w:sz w:val="24"/>
        </w:rPr>
      </w:pPr>
      <w:r>
        <w:rPr>
          <w:b/>
          <w:color w:val="5F497A" w:themeColor="accent4" w:themeShade="BF"/>
          <w:sz w:val="24"/>
        </w:rPr>
        <w:br w:type="page"/>
      </w:r>
    </w:p>
    <w:p w:rsidR="00FB1FF6" w:rsidRDefault="00FB1FF6" w:rsidP="00FB1FF6">
      <w:pPr>
        <w:spacing w:after="180"/>
        <w:rPr>
          <w:b/>
          <w:color w:val="5F497A" w:themeColor="accent4" w:themeShade="BF"/>
          <w:sz w:val="24"/>
        </w:rPr>
      </w:pPr>
      <w:r>
        <w:rPr>
          <w:b/>
          <w:color w:val="5F497A" w:themeColor="accent4" w:themeShade="BF"/>
          <w:sz w:val="24"/>
        </w:rPr>
        <w:lastRenderedPageBreak/>
        <w:t>References</w:t>
      </w:r>
    </w:p>
    <w:p w:rsidR="00576EE0" w:rsidRPr="00576EE0" w:rsidRDefault="00576EE0" w:rsidP="00AE458E">
      <w:pPr>
        <w:pStyle w:val="EndNoteBibliography"/>
        <w:spacing w:after="120"/>
        <w:ind w:left="426" w:hanging="426"/>
      </w:pPr>
      <w:r>
        <w:rPr>
          <w:b/>
        </w:rPr>
        <w:fldChar w:fldCharType="begin"/>
      </w:r>
      <w:r>
        <w:rPr>
          <w:b/>
        </w:rPr>
        <w:instrText xml:space="preserve"> ADDIN EN.REFLIST </w:instrText>
      </w:r>
      <w:r>
        <w:rPr>
          <w:b/>
        </w:rPr>
        <w:fldChar w:fldCharType="separate"/>
      </w:r>
      <w:r w:rsidRPr="00576EE0">
        <w:t xml:space="preserve">Hull, M. M. and Hopf, M. (2020). Student Understanding of Emergent Aspects of Radioactivity. </w:t>
      </w:r>
      <w:r w:rsidRPr="00576EE0">
        <w:rPr>
          <w:i/>
        </w:rPr>
        <w:t>International Journal of Physics and Chemistry Education,</w:t>
      </w:r>
      <w:r w:rsidRPr="00576EE0">
        <w:t xml:space="preserve"> 12(2).</w:t>
      </w:r>
    </w:p>
    <w:p w:rsidR="00576EE0" w:rsidRPr="00576EE0" w:rsidRDefault="00576EE0" w:rsidP="00AE458E">
      <w:pPr>
        <w:pStyle w:val="EndNoteBibliography"/>
        <w:spacing w:after="120"/>
        <w:ind w:left="426" w:hanging="426"/>
      </w:pPr>
      <w:r w:rsidRPr="00576EE0">
        <w:t xml:space="preserve">Hull, M. M., Janksky, A. and Hopf, M. (2021). Probability-related naive ideas across physics topics. </w:t>
      </w:r>
      <w:r w:rsidRPr="00576EE0">
        <w:rPr>
          <w:i/>
        </w:rPr>
        <w:t>Studies in Science Education,</w:t>
      </w:r>
      <w:r w:rsidRPr="00576EE0">
        <w:t xml:space="preserve"> 57:1.</w:t>
      </w:r>
    </w:p>
    <w:p w:rsidR="00576EE0" w:rsidRPr="00576EE0" w:rsidRDefault="00576EE0" w:rsidP="00AE458E">
      <w:pPr>
        <w:pStyle w:val="EndNoteBibliography"/>
        <w:spacing w:after="120"/>
        <w:ind w:left="426" w:hanging="426"/>
      </w:pPr>
      <w:r w:rsidRPr="00576EE0">
        <w:t xml:space="preserve">Lijnse, P. L., et al. (1990). Pupils' and mass-media ideas about radioactivity. </w:t>
      </w:r>
      <w:r w:rsidRPr="00576EE0">
        <w:rPr>
          <w:i/>
        </w:rPr>
        <w:t>International Journal of Science Education,</w:t>
      </w:r>
      <w:r w:rsidRPr="00576EE0">
        <w:t xml:space="preserve"> 12.1.</w:t>
      </w:r>
    </w:p>
    <w:p w:rsidR="00576EE0" w:rsidRPr="00576EE0" w:rsidRDefault="00576EE0" w:rsidP="00AE458E">
      <w:pPr>
        <w:pStyle w:val="EndNoteBibliography"/>
        <w:spacing w:after="120"/>
        <w:ind w:left="426" w:hanging="426"/>
      </w:pPr>
      <w:r w:rsidRPr="00576EE0">
        <w:t xml:space="preserve">Prather, E. (2005). Students' beliefs about the role of atoms in radioactive decay and half-life. </w:t>
      </w:r>
      <w:r w:rsidRPr="00576EE0">
        <w:rPr>
          <w:i/>
        </w:rPr>
        <w:t>Journal of Geoscience Education,</w:t>
      </w:r>
      <w:r w:rsidRPr="00576EE0">
        <w:t xml:space="preserve"> 53(4)</w:t>
      </w:r>
      <w:r w:rsidRPr="00576EE0">
        <w:rPr>
          <w:b/>
        </w:rPr>
        <w:t>,</w:t>
      </w:r>
      <w:r w:rsidRPr="00576EE0">
        <w:t xml:space="preserve"> 345-354.</w:t>
      </w:r>
    </w:p>
    <w:p w:rsidR="000D3308" w:rsidRPr="000D3308" w:rsidRDefault="00576EE0" w:rsidP="00AE458E">
      <w:pPr>
        <w:spacing w:after="120"/>
        <w:ind w:left="426" w:hanging="426"/>
        <w:rPr>
          <w:b/>
        </w:rPr>
      </w:pPr>
      <w:r>
        <w:rPr>
          <w:b/>
        </w:rPr>
        <w:fldChar w:fldCharType="end"/>
      </w:r>
    </w:p>
    <w:sectPr w:rsidR="000D3308" w:rsidRPr="000D330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749" w:rsidRDefault="000E7749" w:rsidP="000B473B">
      <w:r>
        <w:separator/>
      </w:r>
    </w:p>
  </w:endnote>
  <w:endnote w:type="continuationSeparator" w:id="0">
    <w:p w:rsidR="000E7749" w:rsidRDefault="000E774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4E2E4F0"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B502E4">
      <w:rPr>
        <w:noProof/>
      </w:rPr>
      <w:t>3</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749" w:rsidRDefault="000E7749" w:rsidP="000B473B">
      <w:r>
        <w:separator/>
      </w:r>
    </w:p>
  </w:footnote>
  <w:footnote w:type="continuationSeparator" w:id="0">
    <w:p w:rsidR="000E7749" w:rsidRDefault="000E774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3CFEA6F"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AF470B"/>
    <w:multiLevelType w:val="hybridMultilevel"/>
    <w:tmpl w:val="44E68D2C"/>
    <w:lvl w:ilvl="0" w:tplc="E5DA9550">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69781E"/>
    <w:multiLevelType w:val="hybridMultilevel"/>
    <w:tmpl w:val="EBEEA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736FF1"/>
    <w:multiLevelType w:val="hybridMultilevel"/>
    <w:tmpl w:val="85688EC6"/>
    <w:lvl w:ilvl="0" w:tplc="E5DA9550">
      <w:numFmt w:val="bullet"/>
      <w:lvlText w:val="•"/>
      <w:lvlJc w:val="left"/>
      <w:pPr>
        <w:ind w:left="1080" w:hanging="72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51600C"/>
    <w:multiLevelType w:val="hybridMultilevel"/>
    <w:tmpl w:val="135AB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2D6879"/>
    <w:multiLevelType w:val="hybridMultilevel"/>
    <w:tmpl w:val="4C887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ED138C9"/>
    <w:multiLevelType w:val="hybridMultilevel"/>
    <w:tmpl w:val="5AD06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028215E"/>
    <w:multiLevelType w:val="hybridMultilevel"/>
    <w:tmpl w:val="7C8EB9C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6B41817"/>
    <w:multiLevelType w:val="hybridMultilevel"/>
    <w:tmpl w:val="C4BCD332"/>
    <w:lvl w:ilvl="0" w:tplc="E5DA9550">
      <w:numFmt w:val="bullet"/>
      <w:lvlText w:val="•"/>
      <w:lvlJc w:val="left"/>
      <w:pPr>
        <w:ind w:left="1506" w:hanging="72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1"/>
  </w:num>
  <w:num w:numId="4">
    <w:abstractNumId w:val="7"/>
  </w:num>
  <w:num w:numId="5">
    <w:abstractNumId w:val="10"/>
  </w:num>
  <w:num w:numId="6">
    <w:abstractNumId w:val="13"/>
  </w:num>
  <w:num w:numId="7">
    <w:abstractNumId w:val="4"/>
  </w:num>
  <w:num w:numId="8">
    <w:abstractNumId w:val="1"/>
  </w:num>
  <w:num w:numId="9">
    <w:abstractNumId w:val="12"/>
  </w:num>
  <w:num w:numId="10">
    <w:abstractNumId w:val="5"/>
  </w:num>
  <w:num w:numId="11">
    <w:abstractNumId w:val="2"/>
  </w:num>
  <w:num w:numId="12">
    <w:abstractNumId w:val="8"/>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C17F1"/>
    <w:rsid w:val="000026EA"/>
    <w:rsid w:val="00005971"/>
    <w:rsid w:val="00010EBF"/>
    <w:rsid w:val="00015578"/>
    <w:rsid w:val="00015DC9"/>
    <w:rsid w:val="00021686"/>
    <w:rsid w:val="00024731"/>
    <w:rsid w:val="000247E1"/>
    <w:rsid w:val="00025974"/>
    <w:rsid w:val="00026DEC"/>
    <w:rsid w:val="0003079C"/>
    <w:rsid w:val="000323DD"/>
    <w:rsid w:val="00036EBA"/>
    <w:rsid w:val="0004535F"/>
    <w:rsid w:val="000505CA"/>
    <w:rsid w:val="00051A5F"/>
    <w:rsid w:val="00054DC9"/>
    <w:rsid w:val="0005709C"/>
    <w:rsid w:val="000719F0"/>
    <w:rsid w:val="00082BED"/>
    <w:rsid w:val="000925A5"/>
    <w:rsid w:val="000947E2"/>
    <w:rsid w:val="00095E04"/>
    <w:rsid w:val="00097A8F"/>
    <w:rsid w:val="000A4D1F"/>
    <w:rsid w:val="000B473B"/>
    <w:rsid w:val="000C0D7C"/>
    <w:rsid w:val="000D0E89"/>
    <w:rsid w:val="000D2978"/>
    <w:rsid w:val="000D3308"/>
    <w:rsid w:val="000E1B0E"/>
    <w:rsid w:val="000E2689"/>
    <w:rsid w:val="000E6EE0"/>
    <w:rsid w:val="000E7749"/>
    <w:rsid w:val="000F03D2"/>
    <w:rsid w:val="000F52F2"/>
    <w:rsid w:val="000F5E42"/>
    <w:rsid w:val="000F6775"/>
    <w:rsid w:val="00104331"/>
    <w:rsid w:val="00106B6A"/>
    <w:rsid w:val="0011185C"/>
    <w:rsid w:val="00112F3A"/>
    <w:rsid w:val="0011512B"/>
    <w:rsid w:val="0012135B"/>
    <w:rsid w:val="00127B15"/>
    <w:rsid w:val="00137415"/>
    <w:rsid w:val="0013758F"/>
    <w:rsid w:val="00141E9B"/>
    <w:rsid w:val="00142613"/>
    <w:rsid w:val="00144DA7"/>
    <w:rsid w:val="00146D1A"/>
    <w:rsid w:val="001471AE"/>
    <w:rsid w:val="00147C4E"/>
    <w:rsid w:val="00161D3F"/>
    <w:rsid w:val="001705F3"/>
    <w:rsid w:val="00177A64"/>
    <w:rsid w:val="00186287"/>
    <w:rsid w:val="001915D4"/>
    <w:rsid w:val="00193190"/>
    <w:rsid w:val="001A1FED"/>
    <w:rsid w:val="001A29D8"/>
    <w:rsid w:val="001A40E2"/>
    <w:rsid w:val="001B2603"/>
    <w:rsid w:val="001B2913"/>
    <w:rsid w:val="001B5BC0"/>
    <w:rsid w:val="001C4805"/>
    <w:rsid w:val="001D1E86"/>
    <w:rsid w:val="001D2972"/>
    <w:rsid w:val="001D4741"/>
    <w:rsid w:val="001D573D"/>
    <w:rsid w:val="001D6D7A"/>
    <w:rsid w:val="001D7EDB"/>
    <w:rsid w:val="001E3E1C"/>
    <w:rsid w:val="001E5AF8"/>
    <w:rsid w:val="001E7352"/>
    <w:rsid w:val="001F1D5B"/>
    <w:rsid w:val="001F285E"/>
    <w:rsid w:val="001F2B4D"/>
    <w:rsid w:val="0020387A"/>
    <w:rsid w:val="00204753"/>
    <w:rsid w:val="00207088"/>
    <w:rsid w:val="002149D0"/>
    <w:rsid w:val="002178AC"/>
    <w:rsid w:val="00223388"/>
    <w:rsid w:val="0022442F"/>
    <w:rsid w:val="00224B69"/>
    <w:rsid w:val="0022547C"/>
    <w:rsid w:val="0022751A"/>
    <w:rsid w:val="00233BFE"/>
    <w:rsid w:val="002475B5"/>
    <w:rsid w:val="00250060"/>
    <w:rsid w:val="0025410A"/>
    <w:rsid w:val="00256981"/>
    <w:rsid w:val="00261631"/>
    <w:rsid w:val="00267A91"/>
    <w:rsid w:val="00267E59"/>
    <w:rsid w:val="002762A3"/>
    <w:rsid w:val="002771ED"/>
    <w:rsid w:val="0028012F"/>
    <w:rsid w:val="00280B49"/>
    <w:rsid w:val="00287876"/>
    <w:rsid w:val="0029248B"/>
    <w:rsid w:val="00292C53"/>
    <w:rsid w:val="00294C32"/>
    <w:rsid w:val="00294E22"/>
    <w:rsid w:val="00296919"/>
    <w:rsid w:val="002972EB"/>
    <w:rsid w:val="002A0EF2"/>
    <w:rsid w:val="002B09DC"/>
    <w:rsid w:val="002B1747"/>
    <w:rsid w:val="002C194B"/>
    <w:rsid w:val="002C36ED"/>
    <w:rsid w:val="002C59BA"/>
    <w:rsid w:val="002C625B"/>
    <w:rsid w:val="002C66FB"/>
    <w:rsid w:val="002D1745"/>
    <w:rsid w:val="002D550B"/>
    <w:rsid w:val="002D7B07"/>
    <w:rsid w:val="002E0EBB"/>
    <w:rsid w:val="002F08DF"/>
    <w:rsid w:val="002F3535"/>
    <w:rsid w:val="002F5764"/>
    <w:rsid w:val="00301AA9"/>
    <w:rsid w:val="003117F6"/>
    <w:rsid w:val="00311AE6"/>
    <w:rsid w:val="00330CA7"/>
    <w:rsid w:val="0033493B"/>
    <w:rsid w:val="00340B46"/>
    <w:rsid w:val="003512FB"/>
    <w:rsid w:val="0035187D"/>
    <w:rsid w:val="003533B8"/>
    <w:rsid w:val="00354751"/>
    <w:rsid w:val="00362447"/>
    <w:rsid w:val="00365537"/>
    <w:rsid w:val="00366254"/>
    <w:rsid w:val="00370440"/>
    <w:rsid w:val="00370A63"/>
    <w:rsid w:val="003752BE"/>
    <w:rsid w:val="0037644B"/>
    <w:rsid w:val="00377662"/>
    <w:rsid w:val="003970C5"/>
    <w:rsid w:val="003A346A"/>
    <w:rsid w:val="003B0184"/>
    <w:rsid w:val="003B0A6E"/>
    <w:rsid w:val="003B13BC"/>
    <w:rsid w:val="003B2917"/>
    <w:rsid w:val="003B541B"/>
    <w:rsid w:val="003B5582"/>
    <w:rsid w:val="003C20D1"/>
    <w:rsid w:val="003C7537"/>
    <w:rsid w:val="003E154F"/>
    <w:rsid w:val="003E2B2F"/>
    <w:rsid w:val="003E2F69"/>
    <w:rsid w:val="003E6046"/>
    <w:rsid w:val="003F16F9"/>
    <w:rsid w:val="00415758"/>
    <w:rsid w:val="00417302"/>
    <w:rsid w:val="00430C1F"/>
    <w:rsid w:val="00432590"/>
    <w:rsid w:val="00437318"/>
    <w:rsid w:val="004404C7"/>
    <w:rsid w:val="00442595"/>
    <w:rsid w:val="00442D94"/>
    <w:rsid w:val="004476FC"/>
    <w:rsid w:val="0045323E"/>
    <w:rsid w:val="00453619"/>
    <w:rsid w:val="00453980"/>
    <w:rsid w:val="00455893"/>
    <w:rsid w:val="00457E06"/>
    <w:rsid w:val="0047091F"/>
    <w:rsid w:val="00473E00"/>
    <w:rsid w:val="00473EF7"/>
    <w:rsid w:val="004811A7"/>
    <w:rsid w:val="0048248E"/>
    <w:rsid w:val="004861C5"/>
    <w:rsid w:val="004906ED"/>
    <w:rsid w:val="00490C5D"/>
    <w:rsid w:val="004A16FC"/>
    <w:rsid w:val="004A1D01"/>
    <w:rsid w:val="004A5600"/>
    <w:rsid w:val="004A5BF2"/>
    <w:rsid w:val="004B0EE1"/>
    <w:rsid w:val="004C087A"/>
    <w:rsid w:val="004C65B4"/>
    <w:rsid w:val="004D0D83"/>
    <w:rsid w:val="004D24EE"/>
    <w:rsid w:val="004E189F"/>
    <w:rsid w:val="004E1DF1"/>
    <w:rsid w:val="004E2255"/>
    <w:rsid w:val="004E501B"/>
    <w:rsid w:val="004E5592"/>
    <w:rsid w:val="004F3A89"/>
    <w:rsid w:val="0050055B"/>
    <w:rsid w:val="005034BC"/>
    <w:rsid w:val="00504495"/>
    <w:rsid w:val="0051093D"/>
    <w:rsid w:val="0051540D"/>
    <w:rsid w:val="00524710"/>
    <w:rsid w:val="0052766F"/>
    <w:rsid w:val="00546E8E"/>
    <w:rsid w:val="00550784"/>
    <w:rsid w:val="005519D4"/>
    <w:rsid w:val="00555342"/>
    <w:rsid w:val="00555BCA"/>
    <w:rsid w:val="005560E2"/>
    <w:rsid w:val="00575039"/>
    <w:rsid w:val="005767D5"/>
    <w:rsid w:val="00576EE0"/>
    <w:rsid w:val="0058434C"/>
    <w:rsid w:val="005A452E"/>
    <w:rsid w:val="005A6506"/>
    <w:rsid w:val="005B4275"/>
    <w:rsid w:val="005B495F"/>
    <w:rsid w:val="005C4794"/>
    <w:rsid w:val="005D132D"/>
    <w:rsid w:val="005E383D"/>
    <w:rsid w:val="005E5CD7"/>
    <w:rsid w:val="005E75D9"/>
    <w:rsid w:val="005F115D"/>
    <w:rsid w:val="005F454A"/>
    <w:rsid w:val="005F5595"/>
    <w:rsid w:val="005F5BB2"/>
    <w:rsid w:val="00600B38"/>
    <w:rsid w:val="00601FEE"/>
    <w:rsid w:val="0060216F"/>
    <w:rsid w:val="0060427B"/>
    <w:rsid w:val="0060653A"/>
    <w:rsid w:val="00620350"/>
    <w:rsid w:val="00620AFF"/>
    <w:rsid w:val="0063222E"/>
    <w:rsid w:val="006328F6"/>
    <w:rsid w:val="006355D8"/>
    <w:rsid w:val="00637CFD"/>
    <w:rsid w:val="006429C5"/>
    <w:rsid w:val="00642ECD"/>
    <w:rsid w:val="0065024C"/>
    <w:rsid w:val="006502A0"/>
    <w:rsid w:val="00662D9D"/>
    <w:rsid w:val="0066451C"/>
    <w:rsid w:val="00670B2B"/>
    <w:rsid w:val="00670FB9"/>
    <w:rsid w:val="006772F5"/>
    <w:rsid w:val="0068683E"/>
    <w:rsid w:val="006A01DE"/>
    <w:rsid w:val="006B0615"/>
    <w:rsid w:val="006B13AC"/>
    <w:rsid w:val="006B5A56"/>
    <w:rsid w:val="006B7674"/>
    <w:rsid w:val="006C210B"/>
    <w:rsid w:val="006C2DD9"/>
    <w:rsid w:val="006D0331"/>
    <w:rsid w:val="006D0E5B"/>
    <w:rsid w:val="006D166B"/>
    <w:rsid w:val="006D3341"/>
    <w:rsid w:val="006E19F4"/>
    <w:rsid w:val="006E353A"/>
    <w:rsid w:val="006E616D"/>
    <w:rsid w:val="006E73AB"/>
    <w:rsid w:val="006F01D8"/>
    <w:rsid w:val="006F3279"/>
    <w:rsid w:val="00702400"/>
    <w:rsid w:val="00704AEE"/>
    <w:rsid w:val="007100E4"/>
    <w:rsid w:val="0071034F"/>
    <w:rsid w:val="00722F9A"/>
    <w:rsid w:val="00725949"/>
    <w:rsid w:val="00734EAE"/>
    <w:rsid w:val="00750E6E"/>
    <w:rsid w:val="00754539"/>
    <w:rsid w:val="00757297"/>
    <w:rsid w:val="00757DA9"/>
    <w:rsid w:val="00760E08"/>
    <w:rsid w:val="00761D32"/>
    <w:rsid w:val="00763B11"/>
    <w:rsid w:val="00764492"/>
    <w:rsid w:val="00764F3E"/>
    <w:rsid w:val="00765ED7"/>
    <w:rsid w:val="00780896"/>
    <w:rsid w:val="00782872"/>
    <w:rsid w:val="00782B1F"/>
    <w:rsid w:val="00786533"/>
    <w:rsid w:val="00791770"/>
    <w:rsid w:val="00793235"/>
    <w:rsid w:val="00795CB4"/>
    <w:rsid w:val="00796DDA"/>
    <w:rsid w:val="007A1C73"/>
    <w:rsid w:val="007A3C86"/>
    <w:rsid w:val="007A683E"/>
    <w:rsid w:val="007A748B"/>
    <w:rsid w:val="007B348E"/>
    <w:rsid w:val="007B4B6B"/>
    <w:rsid w:val="007B6E1E"/>
    <w:rsid w:val="007C3B28"/>
    <w:rsid w:val="007D1D65"/>
    <w:rsid w:val="007D2B7C"/>
    <w:rsid w:val="007D74DB"/>
    <w:rsid w:val="007E0A9E"/>
    <w:rsid w:val="007E336B"/>
    <w:rsid w:val="007E5309"/>
    <w:rsid w:val="007F6C23"/>
    <w:rsid w:val="0080002D"/>
    <w:rsid w:val="00800DE1"/>
    <w:rsid w:val="008020DC"/>
    <w:rsid w:val="00802843"/>
    <w:rsid w:val="00813EB8"/>
    <w:rsid w:val="00813F47"/>
    <w:rsid w:val="00820244"/>
    <w:rsid w:val="00821188"/>
    <w:rsid w:val="008247BC"/>
    <w:rsid w:val="00825467"/>
    <w:rsid w:val="008278DF"/>
    <w:rsid w:val="00830E99"/>
    <w:rsid w:val="00834FA6"/>
    <w:rsid w:val="0083566F"/>
    <w:rsid w:val="00837D84"/>
    <w:rsid w:val="008413DD"/>
    <w:rsid w:val="008450D6"/>
    <w:rsid w:val="00846982"/>
    <w:rsid w:val="008544D9"/>
    <w:rsid w:val="008556B7"/>
    <w:rsid w:val="00856461"/>
    <w:rsid w:val="00856FCA"/>
    <w:rsid w:val="00862562"/>
    <w:rsid w:val="0086448F"/>
    <w:rsid w:val="00867DEE"/>
    <w:rsid w:val="00871FDD"/>
    <w:rsid w:val="00872EB4"/>
    <w:rsid w:val="00873B8C"/>
    <w:rsid w:val="00876E4F"/>
    <w:rsid w:val="008828FE"/>
    <w:rsid w:val="008842F0"/>
    <w:rsid w:val="008879DD"/>
    <w:rsid w:val="00896C86"/>
    <w:rsid w:val="008A28DA"/>
    <w:rsid w:val="008A405F"/>
    <w:rsid w:val="008A4BCA"/>
    <w:rsid w:val="008B27BF"/>
    <w:rsid w:val="008B7BCC"/>
    <w:rsid w:val="008C07C9"/>
    <w:rsid w:val="008C7F34"/>
    <w:rsid w:val="008D0FA6"/>
    <w:rsid w:val="008D3A9C"/>
    <w:rsid w:val="008E032D"/>
    <w:rsid w:val="008E13E0"/>
    <w:rsid w:val="008E4469"/>
    <w:rsid w:val="008E580C"/>
    <w:rsid w:val="008E7EB5"/>
    <w:rsid w:val="008F24A5"/>
    <w:rsid w:val="008F3215"/>
    <w:rsid w:val="0090047A"/>
    <w:rsid w:val="00913AD8"/>
    <w:rsid w:val="00914F39"/>
    <w:rsid w:val="00915FB6"/>
    <w:rsid w:val="00917940"/>
    <w:rsid w:val="00925026"/>
    <w:rsid w:val="00931264"/>
    <w:rsid w:val="00942A4B"/>
    <w:rsid w:val="00947EA5"/>
    <w:rsid w:val="00954230"/>
    <w:rsid w:val="00955B27"/>
    <w:rsid w:val="00961D59"/>
    <w:rsid w:val="0097512A"/>
    <w:rsid w:val="0097760A"/>
    <w:rsid w:val="009835E1"/>
    <w:rsid w:val="00984706"/>
    <w:rsid w:val="00985C3D"/>
    <w:rsid w:val="0098615B"/>
    <w:rsid w:val="0099654B"/>
    <w:rsid w:val="00997645"/>
    <w:rsid w:val="009A20C9"/>
    <w:rsid w:val="009A39BF"/>
    <w:rsid w:val="009A4BFF"/>
    <w:rsid w:val="009B2B7F"/>
    <w:rsid w:val="009B2D55"/>
    <w:rsid w:val="009B30BB"/>
    <w:rsid w:val="009C0343"/>
    <w:rsid w:val="009D0080"/>
    <w:rsid w:val="009D762B"/>
    <w:rsid w:val="009E01C8"/>
    <w:rsid w:val="009E0D11"/>
    <w:rsid w:val="009E2E85"/>
    <w:rsid w:val="009E3C29"/>
    <w:rsid w:val="009E4F6B"/>
    <w:rsid w:val="00A11CC0"/>
    <w:rsid w:val="00A13BF7"/>
    <w:rsid w:val="00A14F29"/>
    <w:rsid w:val="00A22DAA"/>
    <w:rsid w:val="00A24A16"/>
    <w:rsid w:val="00A26B0B"/>
    <w:rsid w:val="00A30604"/>
    <w:rsid w:val="00A314B6"/>
    <w:rsid w:val="00A316B7"/>
    <w:rsid w:val="00A34A77"/>
    <w:rsid w:val="00A35C32"/>
    <w:rsid w:val="00A361D8"/>
    <w:rsid w:val="00A37D14"/>
    <w:rsid w:val="00A433E4"/>
    <w:rsid w:val="00A53790"/>
    <w:rsid w:val="00A6168B"/>
    <w:rsid w:val="00A62028"/>
    <w:rsid w:val="00A678F8"/>
    <w:rsid w:val="00A87985"/>
    <w:rsid w:val="00AA47EA"/>
    <w:rsid w:val="00AA6236"/>
    <w:rsid w:val="00AA66F3"/>
    <w:rsid w:val="00AA7008"/>
    <w:rsid w:val="00AB1091"/>
    <w:rsid w:val="00AB178D"/>
    <w:rsid w:val="00AB3A12"/>
    <w:rsid w:val="00AB6AE7"/>
    <w:rsid w:val="00AC058E"/>
    <w:rsid w:val="00AC2B53"/>
    <w:rsid w:val="00AC423B"/>
    <w:rsid w:val="00AD03B7"/>
    <w:rsid w:val="00AD21F5"/>
    <w:rsid w:val="00AD5043"/>
    <w:rsid w:val="00AE0F59"/>
    <w:rsid w:val="00AE1226"/>
    <w:rsid w:val="00AE1CCD"/>
    <w:rsid w:val="00AE3132"/>
    <w:rsid w:val="00AE3956"/>
    <w:rsid w:val="00AE458E"/>
    <w:rsid w:val="00AE5FB7"/>
    <w:rsid w:val="00AF0E74"/>
    <w:rsid w:val="00AF7DB9"/>
    <w:rsid w:val="00B0376F"/>
    <w:rsid w:val="00B06225"/>
    <w:rsid w:val="00B06D46"/>
    <w:rsid w:val="00B17072"/>
    <w:rsid w:val="00B23C7A"/>
    <w:rsid w:val="00B2402B"/>
    <w:rsid w:val="00B346B5"/>
    <w:rsid w:val="00B36046"/>
    <w:rsid w:val="00B37C53"/>
    <w:rsid w:val="00B42E62"/>
    <w:rsid w:val="00B4362D"/>
    <w:rsid w:val="00B45F4B"/>
    <w:rsid w:val="00B46FF9"/>
    <w:rsid w:val="00B502E4"/>
    <w:rsid w:val="00B5392B"/>
    <w:rsid w:val="00B56753"/>
    <w:rsid w:val="00B56D3A"/>
    <w:rsid w:val="00B625E2"/>
    <w:rsid w:val="00B6703E"/>
    <w:rsid w:val="00B70876"/>
    <w:rsid w:val="00B75483"/>
    <w:rsid w:val="00B81360"/>
    <w:rsid w:val="00B832B7"/>
    <w:rsid w:val="00B85D9F"/>
    <w:rsid w:val="00BA0826"/>
    <w:rsid w:val="00BA3DAD"/>
    <w:rsid w:val="00BA49B2"/>
    <w:rsid w:val="00BA5A78"/>
    <w:rsid w:val="00BA7952"/>
    <w:rsid w:val="00BB3EA6"/>
    <w:rsid w:val="00BB63DA"/>
    <w:rsid w:val="00BC0A63"/>
    <w:rsid w:val="00BD078C"/>
    <w:rsid w:val="00BD0ACC"/>
    <w:rsid w:val="00BD3160"/>
    <w:rsid w:val="00BE27BE"/>
    <w:rsid w:val="00BF0BBF"/>
    <w:rsid w:val="00BF4BDB"/>
    <w:rsid w:val="00BF6C8A"/>
    <w:rsid w:val="00C05571"/>
    <w:rsid w:val="00C06521"/>
    <w:rsid w:val="00C11971"/>
    <w:rsid w:val="00C129CB"/>
    <w:rsid w:val="00C15989"/>
    <w:rsid w:val="00C23D64"/>
    <w:rsid w:val="00C246CE"/>
    <w:rsid w:val="00C30FD7"/>
    <w:rsid w:val="00C47196"/>
    <w:rsid w:val="00C5553B"/>
    <w:rsid w:val="00C55A83"/>
    <w:rsid w:val="00C5799B"/>
    <w:rsid w:val="00C57FA2"/>
    <w:rsid w:val="00C63844"/>
    <w:rsid w:val="00C6585E"/>
    <w:rsid w:val="00C7023E"/>
    <w:rsid w:val="00C70EFB"/>
    <w:rsid w:val="00C72918"/>
    <w:rsid w:val="00C83E81"/>
    <w:rsid w:val="00C85DF0"/>
    <w:rsid w:val="00C86400"/>
    <w:rsid w:val="00C8752B"/>
    <w:rsid w:val="00C8765D"/>
    <w:rsid w:val="00C90F81"/>
    <w:rsid w:val="00C910AC"/>
    <w:rsid w:val="00C9265A"/>
    <w:rsid w:val="00C96F8C"/>
    <w:rsid w:val="00CA4C30"/>
    <w:rsid w:val="00CB407E"/>
    <w:rsid w:val="00CB6A0B"/>
    <w:rsid w:val="00CC2E4D"/>
    <w:rsid w:val="00CC50F3"/>
    <w:rsid w:val="00CC615E"/>
    <w:rsid w:val="00CC78A5"/>
    <w:rsid w:val="00CC7B16"/>
    <w:rsid w:val="00CD2673"/>
    <w:rsid w:val="00CE15FE"/>
    <w:rsid w:val="00CE7273"/>
    <w:rsid w:val="00CF018B"/>
    <w:rsid w:val="00D02E15"/>
    <w:rsid w:val="00D04E13"/>
    <w:rsid w:val="00D14F44"/>
    <w:rsid w:val="00D20F67"/>
    <w:rsid w:val="00D278E8"/>
    <w:rsid w:val="00D32242"/>
    <w:rsid w:val="00D343AA"/>
    <w:rsid w:val="00D37C54"/>
    <w:rsid w:val="00D40D1E"/>
    <w:rsid w:val="00D421C8"/>
    <w:rsid w:val="00D43788"/>
    <w:rsid w:val="00D44604"/>
    <w:rsid w:val="00D45001"/>
    <w:rsid w:val="00D479B3"/>
    <w:rsid w:val="00D5015D"/>
    <w:rsid w:val="00D51657"/>
    <w:rsid w:val="00D52283"/>
    <w:rsid w:val="00D524E5"/>
    <w:rsid w:val="00D56CCB"/>
    <w:rsid w:val="00D56F0A"/>
    <w:rsid w:val="00D628B6"/>
    <w:rsid w:val="00D6661B"/>
    <w:rsid w:val="00D72FEF"/>
    <w:rsid w:val="00D755FA"/>
    <w:rsid w:val="00DA6A14"/>
    <w:rsid w:val="00DA7B5E"/>
    <w:rsid w:val="00DB3123"/>
    <w:rsid w:val="00DB7449"/>
    <w:rsid w:val="00DB7471"/>
    <w:rsid w:val="00DC3DB9"/>
    <w:rsid w:val="00DC44AC"/>
    <w:rsid w:val="00DC4A4E"/>
    <w:rsid w:val="00DD1874"/>
    <w:rsid w:val="00DD63BD"/>
    <w:rsid w:val="00DE4DAC"/>
    <w:rsid w:val="00DE58E2"/>
    <w:rsid w:val="00DF1F5E"/>
    <w:rsid w:val="00DF5029"/>
    <w:rsid w:val="00DF5C2A"/>
    <w:rsid w:val="00E1430E"/>
    <w:rsid w:val="00E172C6"/>
    <w:rsid w:val="00E2147D"/>
    <w:rsid w:val="00E22B55"/>
    <w:rsid w:val="00E24309"/>
    <w:rsid w:val="00E265C9"/>
    <w:rsid w:val="00E31116"/>
    <w:rsid w:val="00E349CE"/>
    <w:rsid w:val="00E53D82"/>
    <w:rsid w:val="00E54437"/>
    <w:rsid w:val="00E5697D"/>
    <w:rsid w:val="00E6062E"/>
    <w:rsid w:val="00E630D3"/>
    <w:rsid w:val="00E66945"/>
    <w:rsid w:val="00E66D97"/>
    <w:rsid w:val="00E7011B"/>
    <w:rsid w:val="00E73EEF"/>
    <w:rsid w:val="00E74454"/>
    <w:rsid w:val="00E753A9"/>
    <w:rsid w:val="00E75DFB"/>
    <w:rsid w:val="00E8061E"/>
    <w:rsid w:val="00E84404"/>
    <w:rsid w:val="00E85125"/>
    <w:rsid w:val="00E85322"/>
    <w:rsid w:val="00E85A74"/>
    <w:rsid w:val="00EA1620"/>
    <w:rsid w:val="00EB3578"/>
    <w:rsid w:val="00EC17F1"/>
    <w:rsid w:val="00ED3A00"/>
    <w:rsid w:val="00EE2AE7"/>
    <w:rsid w:val="00EE4AE0"/>
    <w:rsid w:val="00EE6B97"/>
    <w:rsid w:val="00F02265"/>
    <w:rsid w:val="00F03E37"/>
    <w:rsid w:val="00F11E4D"/>
    <w:rsid w:val="00F12C3B"/>
    <w:rsid w:val="00F24031"/>
    <w:rsid w:val="00F24AE0"/>
    <w:rsid w:val="00F26884"/>
    <w:rsid w:val="00F34FD0"/>
    <w:rsid w:val="00F36041"/>
    <w:rsid w:val="00F3616F"/>
    <w:rsid w:val="00F40370"/>
    <w:rsid w:val="00F4125F"/>
    <w:rsid w:val="00F524F7"/>
    <w:rsid w:val="00F5253D"/>
    <w:rsid w:val="00F53479"/>
    <w:rsid w:val="00F5797D"/>
    <w:rsid w:val="00F604E7"/>
    <w:rsid w:val="00F65085"/>
    <w:rsid w:val="00F66FF6"/>
    <w:rsid w:val="00F74824"/>
    <w:rsid w:val="00F75F0D"/>
    <w:rsid w:val="00F82443"/>
    <w:rsid w:val="00F8355F"/>
    <w:rsid w:val="00F856CE"/>
    <w:rsid w:val="00F90D64"/>
    <w:rsid w:val="00F91114"/>
    <w:rsid w:val="00F95F3E"/>
    <w:rsid w:val="00FA14FE"/>
    <w:rsid w:val="00FA3196"/>
    <w:rsid w:val="00FB1FF6"/>
    <w:rsid w:val="00FB3D4C"/>
    <w:rsid w:val="00FC3779"/>
    <w:rsid w:val="00FC4E51"/>
    <w:rsid w:val="00FC5D84"/>
    <w:rsid w:val="00FC7F2F"/>
    <w:rsid w:val="00FD2EAF"/>
    <w:rsid w:val="00FE33DD"/>
    <w:rsid w:val="00FE427C"/>
    <w:rsid w:val="00FE50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3EC4D3-8401-4C33-9843-AEAB4D92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customStyle="1" w:styleId="EndNoteBibliographyTitle">
    <w:name w:val="EndNote Bibliography Title"/>
    <w:basedOn w:val="Normal"/>
    <w:link w:val="EndNoteBibliographyTitleChar"/>
    <w:rsid w:val="00F24AE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24AE0"/>
    <w:rPr>
      <w:rFonts w:ascii="Calibri" w:hAnsi="Calibri" w:cs="Calibri"/>
      <w:noProof/>
      <w:lang w:val="en-US"/>
    </w:rPr>
  </w:style>
  <w:style w:type="paragraph" w:customStyle="1" w:styleId="EndNoteBibliography">
    <w:name w:val="EndNote Bibliography"/>
    <w:basedOn w:val="Normal"/>
    <w:link w:val="EndNoteBibliographyChar"/>
    <w:rsid w:val="00F24AE0"/>
    <w:rPr>
      <w:rFonts w:ascii="Calibri" w:hAnsi="Calibri" w:cs="Calibri"/>
      <w:noProof/>
      <w:lang w:val="en-US"/>
    </w:rPr>
  </w:style>
  <w:style w:type="character" w:customStyle="1" w:styleId="EndNoteBibliographyChar">
    <w:name w:val="EndNote Bibliography Char"/>
    <w:basedOn w:val="DefaultParagraphFont"/>
    <w:link w:val="EndNoteBibliography"/>
    <w:rsid w:val="00F24AE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59881">
      <w:bodyDiv w:val="1"/>
      <w:marLeft w:val="0"/>
      <w:marRight w:val="0"/>
      <w:marTop w:val="0"/>
      <w:marBottom w:val="0"/>
      <w:divBdr>
        <w:top w:val="none" w:sz="0" w:space="0" w:color="auto"/>
        <w:left w:val="none" w:sz="0" w:space="0" w:color="auto"/>
        <w:bottom w:val="none" w:sz="0" w:space="0" w:color="auto"/>
        <w:right w:val="none" w:sz="0" w:space="0" w:color="auto"/>
      </w:divBdr>
    </w:div>
    <w:div w:id="1366906682">
      <w:bodyDiv w:val="1"/>
      <w:marLeft w:val="0"/>
      <w:marRight w:val="0"/>
      <w:marTop w:val="0"/>
      <w:marBottom w:val="0"/>
      <w:divBdr>
        <w:top w:val="none" w:sz="0" w:space="0" w:color="auto"/>
        <w:left w:val="none" w:sz="0" w:space="0" w:color="auto"/>
        <w:bottom w:val="none" w:sz="0" w:space="0" w:color="auto"/>
        <w:right w:val="none" w:sz="0" w:space="0" w:color="auto"/>
      </w:divBdr>
    </w:div>
    <w:div w:id="1395196009">
      <w:bodyDiv w:val="1"/>
      <w:marLeft w:val="0"/>
      <w:marRight w:val="0"/>
      <w:marTop w:val="0"/>
      <w:marBottom w:val="0"/>
      <w:divBdr>
        <w:top w:val="none" w:sz="0" w:space="0" w:color="auto"/>
        <w:left w:val="none" w:sz="0" w:space="0" w:color="auto"/>
        <w:bottom w:val="none" w:sz="0" w:space="0" w:color="auto"/>
        <w:right w:val="none" w:sz="0" w:space="0" w:color="auto"/>
      </w:divBdr>
    </w:div>
    <w:div w:id="152359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tmp"/></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Physics_Teacher%20notes_Key%20conce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.BEST_Template_Physics_Teacher notes_Key concept.dotx</Template>
  <TotalTime>735</TotalTime>
  <Pages>6</Pages>
  <Words>2651</Words>
  <Characters>15113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Alistair Moore</cp:lastModifiedBy>
  <cp:revision>79</cp:revision>
  <cp:lastPrinted>2018-01-23T10:03:00Z</cp:lastPrinted>
  <dcterms:created xsi:type="dcterms:W3CDTF">2022-01-31T11:30:00Z</dcterms:created>
  <dcterms:modified xsi:type="dcterms:W3CDTF">2022-02-17T15:37:00Z</dcterms:modified>
</cp:coreProperties>
</file>